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Ros Matthew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70"/>
        <w:gridCol w:w="1222"/>
        <w:gridCol w:w="1124"/>
        <w:gridCol w:w="1505"/>
        <w:gridCol w:w="969"/>
        <w:gridCol w:w="1255"/>
        <w:gridCol w:w="1214"/>
        <w:gridCol w:w="134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7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50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6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5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Voting Common Stock</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103,204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(1)(2)(3)(4)</w:t>
            </w:r>
          </w:p>
        </w:tc>
        <w:tc>
          <w:tcPr>
            <w:tcW w:w="15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Non Voting Convertible Preferred Stock</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92,278</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Agreement and Plan of Merger by and among Kira Pharmaceuticals ("Kira"), Jasper Therapeutics, Inc. ("Jasper") and Kira Holdco Inc. ("Merger Sub"), a wholly owned subsidiary of Jasper, dated July 16, 2026 (the "Merger Agreement"), Kira merged with and into Merger Sub, with Merger Sub surviving (the "Merger"). Each option to purchase shares of Kira ordinary shares (each, a "Kira Option") that was outstanding and unexercised immediately prior to the closing of the Merger, whether or not vested, was converted into and became an option to purchase Jasper's voting common stock, par value $0.0001 per share ("Voting Common Stock") and shares of the Jasper Non-Voting Convertible Preferred Stock, par value $0.0001 ("Preferred Stock") pursuant to the terms and conditions of the Merger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Beginning on June 7, 2026, the option vests in equal monthly installments over 48 months, subject to the Reporting Person's continued service to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Merger Agreement, the Reporting Person received 103, 204 options to purchase shares of Voting Common Stock and 92,278 options to purchase shares of Preferred Stock in exchange for 622,456 Kira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the third business day following the receipt of stockholder approval of the conversion of the Preferred Stock, each share of preferred stock shall automatically convert into 61 shares of the Issuer's Voting Common Stock, subject to certain limitations, including that a holder of Preferred Stock is prohibited from converting shares of preferred stock into shares of Voting Common Stock if, as a result of such conversion, such holder, together with its affiliates, would beneficially own more than a specified percentage (to be established by the holder between 4.9% and 19.9%) of the total number of shares of Voting Common Stock issued and outstanding immediately after giving effect to such conversion. The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Herb Cross,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29895203ex-24.htm"/>
      <w:bookmarkStart w:id="3" w:name="ksea029895203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makes, constitutes and appoints each of Herb Cross and Jeetinder Singh Mahal (also known as Jeet Mahal),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Jasper Therapeutics, Inc.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and file SEC Filings with the SEC utilizing the EDGAR system or cause them to be submitted and filed by a person appointed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File, submit or otherwise deliver SEC Filings to any securities exchange on which the Company’s securities may be listed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as of July 21, 2026.</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28" w:type="dxa"/>
          <w:right w:w="0" w:type="dxa"/>
        </w:tblCellMar>
      </w:tblPr>
      <w:tblGrid>
        <w:gridCol w:w="1820"/>
        <w:gridCol w:w="75"/>
      </w:tblGrid>
      <w:tr>
        <w:trPr/>
        <w:tc>
          <w:tcPr>
            <w:tcW w:w="1820" w:type="dxa"/>
            <w:tcBorders>
              <w:bottom w:val="single" w:sz="12" w:space="0" w:color="000000"/>
            </w:tcBorders>
            <w:vAlign w:val="center"/>
          </w:tcPr>
          <w:p>
            <w:pPr>
              <w:pStyle w:val="TableContents"/>
              <w:bidi w:val="0"/>
              <w:spacing w:before="0" w:after="283"/>
              <w:jc w:val="left"/>
              <w:rPr>
                <w:i/>
              </w:rPr>
            </w:pPr>
            <w:r>
              <w:rPr>
                <w:i/>
              </w:rPr>
              <w:t>/s/ Matthew E. Ros</w:t>
            </w:r>
          </w:p>
        </w:tc>
        <w:tc>
          <w:tcPr>
            <w:tcW w:w="75" w:type="dxa"/>
            <w:tcBorders/>
            <w:tcMar>
              <w:bottom w:w="0" w:type="dxa"/>
            </w:tcMar>
            <w:vAlign w:val="center"/>
          </w:tcPr>
          <w:p>
            <w:pPr>
              <w:pStyle w:val="TableContents"/>
              <w:bidi w:val="0"/>
              <w:spacing w:before="0" w:after="283"/>
              <w:jc w:val="both"/>
              <w:rPr/>
            </w:pPr>
            <w:r>
              <w:rPr/>
              <w:t> </w:t>
            </w:r>
          </w:p>
        </w:tc>
      </w:tr>
      <w:tr>
        <w:trPr/>
        <w:tc>
          <w:tcPr>
            <w:tcW w:w="1820" w:type="dxa"/>
            <w:tcBorders/>
            <w:tcMar>
              <w:bottom w:w="0" w:type="dxa"/>
            </w:tcMar>
            <w:vAlign w:val="center"/>
          </w:tcPr>
          <w:p>
            <w:pPr>
              <w:pStyle w:val="TableContents"/>
              <w:bidi w:val="0"/>
              <w:spacing w:before="0" w:after="283"/>
              <w:jc w:val="left"/>
              <w:rPr/>
            </w:pPr>
            <w:r>
              <w:rPr/>
              <w:t>Matthew E. Ros</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61613" TargetMode="External"/><Relationship Id="rId3" Type="http://schemas.openxmlformats.org/officeDocument/2006/relationships/hyperlink" Target="http://www.sec.gov/cgi-bin/browse-edgar?action=getcompany&amp;CIK=000178802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1631</Words>
  <Characters>8859</Characters>
  <CharactersWithSpaces>10440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