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286-8k_jasper.htm"/>
      <w:bookmarkStart w:id="1" w:name="ksea03002868k_jasper"/>
      <w:bookmarkEnd w:id="0"/>
      <w:bookmarkEnd w:id="1"/>
      <w:r>
        <w:rPr>
          <w:bdr w:val="single" w:sz="16" w:space="1" w:color="000000"/>
        </w:rPr>
        <w:t> </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3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0731"/>
            <w:bookmarkEnd w:id="6"/>
            <w:r>
              <w:rPr>
                <w:b/>
                <w:sz w:val="20"/>
              </w:rPr>
              <w:t>001-39138</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84-2984849</w:t>
            </w:r>
          </w:p>
        </w:tc>
      </w:tr>
      <w:tr>
        <w:trPr/>
        <w:tc>
          <w:tcPr>
            <w:tcW w:w="236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sz w:val="20"/>
              </w:rPr>
            </w:pPr>
            <w:r>
              <w:rPr>
                <w:b/>
                <w:sz w:val="20"/>
              </w:rPr>
              <w:t>(IRS Employer</w:t>
            </w:r>
            <w:r>
              <w:rPr>
                <w:sz w:val="20"/>
              </w:rPr>
              <w:br/>
            </w:r>
            <w:r>
              <w:rPr>
                <w:b/>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2200 Bridge Pkwy Suite #102</w:t>
        <w:br/>
      </w:r>
      <w:bookmarkStart w:id="9" w:name="xdx_90E_edei--EntityAddressCityOrTown_c2"/>
      <w:bookmarkEnd w:id="9"/>
      <w:r>
        <w:rPr>
          <w:rFonts w:ascii="Times New Roman;Times;Serif" w:hAnsi="Times New Roman;Times;Serif"/>
          <w:b/>
          <w:i w:val="false"/>
          <w:caps w:val="false"/>
          <w:smallCaps w:val="false"/>
          <w:sz w:val="20"/>
        </w:rPr>
        <w:t xml:space="preserve">Redwood City, </w:t>
      </w:r>
      <w:bookmarkStart w:id="10" w:name="xdx_90E_edei--EntityAddressStateOrProvin"/>
      <w:bookmarkEnd w:id="10"/>
      <w:r>
        <w:rPr>
          <w:rFonts w:ascii="Times New Roman;Times;Serif" w:hAnsi="Times New Roman;Times;Serif"/>
          <w:b/>
          <w:i w:val="false"/>
          <w:caps w:val="false"/>
          <w:smallCaps w:val="false"/>
          <w:sz w:val="20"/>
        </w:rPr>
        <w:t xml:space="preserve">California </w:t>
      </w:r>
      <w:bookmarkStart w:id="11" w:name="xdx_905_edei--EntityAddressPostalZipCode"/>
      <w:bookmarkEnd w:id="11"/>
      <w:r>
        <w:rPr>
          <w:rFonts w:ascii="Times New Roman;Times;Serif" w:hAnsi="Times New Roman;Times;Serif"/>
          <w:b/>
          <w:i w:val="false"/>
          <w:caps w:val="false"/>
          <w:smallCaps w:val="false"/>
          <w:sz w:val="20"/>
        </w:rPr>
        <w:t>94065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C_edei--CityAreaCode_c20260731__20"/>
      <w:bookmarkEnd w:id="12"/>
      <w:r>
        <w:rPr>
          <w:rFonts w:ascii="Times New Roman;Times;Serif" w:hAnsi="Times New Roman;Times;Serif"/>
          <w:b/>
          <w:i w:val="false"/>
          <w:caps w:val="false"/>
          <w:smallCaps w:val="false"/>
          <w:sz w:val="20"/>
        </w:rPr>
        <w:t xml:space="preserve">(650) </w:t>
      </w:r>
      <w:bookmarkStart w:id="13" w:name="xdx_90C_edei--LocalPhoneNumber_c20260731"/>
      <w:bookmarkEnd w:id="13"/>
      <w:r>
        <w:rPr>
          <w:rFonts w:ascii="Times New Roman;Times;Serif" w:hAnsi="Times New Roman;Times;Serif"/>
          <w:b/>
          <w:i w:val="false"/>
          <w:caps w:val="false"/>
          <w:smallCaps w:val="false"/>
          <w:sz w:val="20"/>
        </w:rPr>
        <w:t>549-1400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5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SolicitingMaterial_c202607"/>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20"/>
        <w:gridCol w:w="60"/>
        <w:gridCol w:w="1220"/>
        <w:gridCol w:w="60"/>
        <w:gridCol w:w="2345"/>
      </w:tblGrid>
      <w:tr>
        <w:trPr/>
        <w:tc>
          <w:tcPr>
            <w:tcW w:w="65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345" w:type="dxa"/>
            <w:tcBorders>
              <w:bottom w:val="single" w:sz="12"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6520" w:type="dxa"/>
            <w:tcBorders/>
            <w:shd w:fill="CCEEFF" w:val="clear"/>
            <w:tcMar>
              <w:bottom w:w="0" w:type="dxa"/>
            </w:tcMar>
            <w:vAlign w:val="center"/>
          </w:tcPr>
          <w:p>
            <w:pPr>
              <w:pStyle w:val="TableContents"/>
              <w:bidi w:val="0"/>
              <w:spacing w:before="0" w:after="283"/>
              <w:jc w:val="center"/>
              <w:rPr>
                <w:b/>
                <w:sz w:val="20"/>
              </w:rPr>
            </w:pPr>
            <w:bookmarkStart w:id="18" w:name="xdx_906_edei--Security12bTitle_c20260731"/>
            <w:bookmarkEnd w:id="18"/>
            <w:r>
              <w:rPr>
                <w:b/>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b/>
                <w:sz w:val="20"/>
              </w:rPr>
            </w:pPr>
            <w:bookmarkStart w:id="19" w:name="xdx_90A_edei--TradingSymbol_c20260731__2"/>
            <w:bookmarkEnd w:id="19"/>
            <w:r>
              <w:rPr>
                <w:b/>
                <w:sz w:val="20"/>
              </w:rPr>
              <w:t>JSPR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0" w:name="xdx_901_edei--SecurityExchangeName_c2026"/>
            <w:bookmarkEnd w:id="20"/>
            <w:r>
              <w:rPr>
                <w:b/>
                <w:sz w:val="20"/>
              </w:rPr>
              <w:t>Nasdaq Stock Market LLC</w:t>
            </w:r>
          </w:p>
        </w:tc>
      </w:tr>
      <w:tr>
        <w:trPr/>
        <w:tc>
          <w:tcPr>
            <w:tcW w:w="6520" w:type="dxa"/>
            <w:tcBorders/>
            <w:shd w:fill="FFFFFF" w:val="clear"/>
            <w:tcMar>
              <w:bottom w:w="0" w:type="dxa"/>
            </w:tcMar>
            <w:vAlign w:val="center"/>
          </w:tcPr>
          <w:p>
            <w:pPr>
              <w:pStyle w:val="TableContents"/>
              <w:bidi w:val="0"/>
              <w:spacing w:before="0" w:after="283"/>
              <w:jc w:val="center"/>
              <w:rPr>
                <w:b/>
                <w:sz w:val="20"/>
              </w:rPr>
            </w:pPr>
            <w:bookmarkStart w:id="21" w:name="xdx_90A_edei--Security12bTitle_c20260731"/>
            <w:bookmarkEnd w:id="21"/>
            <w:r>
              <w:rPr>
                <w:b/>
                <w:sz w:val="20"/>
              </w:rPr>
              <w:t>Redeemable Warrants, each ten warrants exercisable for one share of Voting Common Stock at an exercise price of $115.00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b/>
                <w:sz w:val="20"/>
              </w:rPr>
            </w:pPr>
            <w:bookmarkStart w:id="22" w:name="xdx_90E_edei--TradingSymbol_c20260731__2"/>
            <w:bookmarkEnd w:id="22"/>
            <w:r>
              <w:rPr>
                <w:b/>
                <w:sz w:val="20"/>
              </w:rPr>
              <w:t>JSPRW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b/>
                <w:sz w:val="20"/>
              </w:rPr>
            </w:pPr>
            <w:r>
              <w:rPr>
                <w:b/>
                <w:sz w:val="20"/>
              </w:rPr>
              <w:t xml:space="preserve">The </w:t>
            </w:r>
            <w:bookmarkStart w:id="23" w:name="xdx_901_edei--SecurityExchangeName_c2026"/>
            <w:bookmarkEnd w:id="23"/>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B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7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5.07. </w:t>
      </w:r>
      <w:r>
        <w:rPr>
          <w:rFonts w:ascii="Times New Roman;Times;Serif" w:hAnsi="Times New Roman;Times;Serif"/>
          <w:b/>
          <w:i w:val="false"/>
          <w:caps w:val="false"/>
          <w:smallCaps w:val="false"/>
          <w:sz w:val="20"/>
          <w:shd w:fill="FFFFFF" w:val="clear"/>
        </w:rPr>
        <w:t>Submission of Matters to a Vote of Security Holders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Jasper Therapeutics, Inc. (the “Company”) held its 2026 Annual Meeting of Stockholders (the “Annual Meeting”). At the Annual Meeting, a total of 21,121,396 shares of the Company’s voting common stock, or approximately 75% of the 28,009,802 shares of the Company’s voting common stock issued and outstanding as of June 5, 2026, the record date for the Annual Meeting, were represented virtually or by proxy.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stockholders considered four proposals, each of which is described in more detail in the Company’s definitive proxy statement filed with the Securities and Exchange Commission on June 15,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brief description of each proposal voted upon at the Annual Meeting and the voting results with respect to each proposal</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Proposal No. 1:</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rPr>
        <w:t>To elect two Class II directors to serve until the 2029 annual meeting of stockholders and until their successors are duly elected and qualified</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28" w:type="dxa"/>
          <w:right w:w="0" w:type="dxa"/>
        </w:tblCellMar>
      </w:tblPr>
      <w:tblGrid>
        <w:gridCol w:w="2240"/>
        <w:gridCol w:w="60"/>
        <w:gridCol w:w="845"/>
        <w:gridCol w:w="60"/>
        <w:gridCol w:w="1310"/>
        <w:gridCol w:w="60"/>
        <w:gridCol w:w="1565"/>
      </w:tblGrid>
      <w:tr>
        <w:trPr/>
        <w:tc>
          <w:tcPr>
            <w:tcW w:w="2240" w:type="dxa"/>
            <w:tcBorders>
              <w:bottom w:val="single" w:sz="12" w:space="0" w:color="000000"/>
            </w:tcBorders>
            <w:vAlign w:val="center"/>
          </w:tcPr>
          <w:p>
            <w:pPr>
              <w:pStyle w:val="TableContents"/>
              <w:bidi w:val="0"/>
              <w:spacing w:before="0" w:after="283"/>
              <w:jc w:val="left"/>
              <w:rPr>
                <w:b/>
                <w:sz w:val="20"/>
              </w:rPr>
            </w:pPr>
            <w:r>
              <w:rPr>
                <w:b/>
                <w:sz w:val="20"/>
              </w:rPr>
              <w:t>Director Nominee</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12"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283"/>
              <w:jc w:val="center"/>
              <w:rPr>
                <w:b/>
                <w:sz w:val="20"/>
              </w:rPr>
            </w:pPr>
            <w:r>
              <w:rPr>
                <w:b/>
                <w:sz w:val="20"/>
              </w:rPr>
              <w:t>Votes Withheld</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Broker Non-Votes</w:t>
            </w:r>
          </w:p>
        </w:tc>
      </w:tr>
      <w:tr>
        <w:trPr/>
        <w:tc>
          <w:tcPr>
            <w:tcW w:w="2240" w:type="dxa"/>
            <w:tcBorders/>
            <w:shd w:fill="CCEEFF" w:val="clear"/>
            <w:tcMar>
              <w:bottom w:w="0" w:type="dxa"/>
            </w:tcMar>
            <w:vAlign w:val="center"/>
          </w:tcPr>
          <w:p>
            <w:pPr>
              <w:pStyle w:val="TableContents"/>
              <w:bidi w:val="0"/>
              <w:spacing w:before="0" w:after="283"/>
              <w:jc w:val="left"/>
              <w:rPr>
                <w:sz w:val="20"/>
              </w:rPr>
            </w:pPr>
            <w:r>
              <w:rPr>
                <w:sz w:val="20"/>
              </w:rPr>
              <w:t>Judith Shizuru, M.D.,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9,273,875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419,763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11,427,758</w:t>
            </w:r>
          </w:p>
        </w:tc>
      </w:tr>
      <w:tr>
        <w:trPr/>
        <w:tc>
          <w:tcPr>
            <w:tcW w:w="2240" w:type="dxa"/>
            <w:tcBorders/>
            <w:shd w:fill="FFFFFF" w:val="clear"/>
            <w:tcMar>
              <w:bottom w:w="0" w:type="dxa"/>
            </w:tcMar>
            <w:vAlign w:val="center"/>
          </w:tcPr>
          <w:p>
            <w:pPr>
              <w:pStyle w:val="TableContents"/>
              <w:bidi w:val="0"/>
              <w:spacing w:before="0" w:after="283"/>
              <w:jc w:val="left"/>
              <w:rPr>
                <w:sz w:val="20"/>
              </w:rPr>
            </w:pPr>
            <w:r>
              <w:rPr>
                <w:sz w:val="20"/>
              </w:rPr>
              <w:t>Tom Wiggans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sz w:val="20"/>
              </w:rPr>
            </w:pPr>
            <w:r>
              <w:rPr>
                <w:sz w:val="20"/>
              </w:rPr>
              <w:t>9,280,610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413,028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center"/>
              <w:rPr>
                <w:sz w:val="20"/>
              </w:rPr>
            </w:pPr>
            <w:r>
              <w:rPr>
                <w:sz w:val="20"/>
              </w:rPr>
              <w:t>11,427,758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Proposal No. 2:</w:t>
      </w:r>
      <w:r>
        <w:rPr>
          <w:rFonts w:ascii="Times New Roman;Times;Serif" w:hAnsi="Times New Roman;Times;Serif"/>
          <w:b w:val="false"/>
          <w:i w:val="false"/>
          <w:caps w:val="false"/>
          <w:smallCaps w:val="false"/>
          <w:sz w:val="20"/>
          <w:shd w:fill="FFFFFF" w:val="clear"/>
        </w:rPr>
        <w:t xml:space="preserve"> To ratify </w:t>
      </w:r>
      <w:r>
        <w:rPr>
          <w:rFonts w:ascii="Times New Roman;Times;Serif" w:hAnsi="Times New Roman;Times;Serif"/>
          <w:b w:val="false"/>
          <w:i w:val="false"/>
          <w:caps w:val="false"/>
          <w:smallCaps w:val="false"/>
          <w:sz w:val="20"/>
        </w:rPr>
        <w:t>the appointment of PricewaterhouseCoopers LLP as the Company’s independent registered public accounting firm for its fiscal year ending December 31, 2026.</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28" w:type="dxa"/>
          <w:right w:w="0" w:type="dxa"/>
        </w:tblCellMar>
      </w:tblPr>
      <w:tblGrid>
        <w:gridCol w:w="965"/>
        <w:gridCol w:w="60"/>
        <w:gridCol w:w="1175"/>
        <w:gridCol w:w="60"/>
        <w:gridCol w:w="1010"/>
      </w:tblGrid>
      <w:tr>
        <w:trPr/>
        <w:tc>
          <w:tcPr>
            <w:tcW w:w="965" w:type="dxa"/>
            <w:tcBorders>
              <w:bottom w:val="single" w:sz="12"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b/>
                <w:sz w:val="20"/>
              </w:rPr>
            </w:pPr>
            <w:r>
              <w:rPr>
                <w:b/>
                <w:sz w:val="20"/>
              </w:rPr>
              <w:t>Abstentions</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20,635,404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434,262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51,730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To approve, on an advisory basis, the compensation of the Company’s named executive officers.</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28" w:type="dxa"/>
          <w:right w:w="0" w:type="dxa"/>
        </w:tblCellMar>
      </w:tblPr>
      <w:tblGrid>
        <w:gridCol w:w="860"/>
        <w:gridCol w:w="60"/>
        <w:gridCol w:w="1175"/>
        <w:gridCol w:w="60"/>
        <w:gridCol w:w="995"/>
        <w:gridCol w:w="60"/>
        <w:gridCol w:w="1565"/>
      </w:tblGrid>
      <w:tr>
        <w:trPr/>
        <w:tc>
          <w:tcPr>
            <w:tcW w:w="860" w:type="dxa"/>
            <w:tcBorders>
              <w:bottom w:val="single" w:sz="12"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shd w:fill="FFFFFF" w:val="clear"/>
              </w:rPr>
            </w:pPr>
            <w:r>
              <w:rPr>
                <w:b/>
                <w:sz w:val="20"/>
                <w:shd w:fill="FFFFFF" w:val="clear"/>
              </w:rPr>
              <w:t>Broker Non-Votes</w:t>
            </w:r>
          </w:p>
        </w:tc>
      </w:tr>
      <w:tr>
        <w:trPr/>
        <w:tc>
          <w:tcPr>
            <w:tcW w:w="860" w:type="dxa"/>
            <w:tcBorders/>
            <w:shd w:fill="CCEEFF" w:val="clear"/>
            <w:tcMar>
              <w:bottom w:w="0" w:type="dxa"/>
            </w:tcMar>
            <w:vAlign w:val="center"/>
          </w:tcPr>
          <w:p>
            <w:pPr>
              <w:pStyle w:val="TableContents"/>
              <w:bidi w:val="0"/>
              <w:spacing w:before="0" w:after="283"/>
              <w:jc w:val="center"/>
              <w:rPr>
                <w:sz w:val="20"/>
              </w:rPr>
            </w:pPr>
            <w:r>
              <w:rPr>
                <w:sz w:val="20"/>
              </w:rPr>
              <w:t>9,016,797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604,173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72,668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11,427,758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28" w:type="dxa"/>
        <w:jc w:val="left"/>
        <w:tblInd w:w="0" w:type="dxa"/>
        <w:tblLayout w:type="fixed"/>
        <w:tblCellMar>
          <w:top w:w="0" w:type="dxa"/>
          <w:left w:w="0" w:type="dxa"/>
          <w:bottom w:w="0" w:type="dxa"/>
          <w:right w:w="0" w:type="dxa"/>
        </w:tblCellMar>
      </w:tblPr>
      <w:tblGrid>
        <w:gridCol w:w="1760"/>
        <w:gridCol w:w="327"/>
        <w:gridCol w:w="603"/>
        <w:gridCol w:w="1938"/>
      </w:tblGrid>
      <w:tr>
        <w:trPr/>
        <w:tc>
          <w:tcPr>
            <w:tcW w:w="1760"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JASPER THERAPEUTICS, INC.</w:t>
            </w:r>
            <w:r>
              <w:rPr>
                <w:rFonts w:ascii="Times New Roman;Times;Serif" w:hAnsi="Times New Roman;Times;Serif"/>
                <w:b w:val="false"/>
                <w:i w:val="false"/>
                <w:caps w:val="false"/>
                <w:smallCaps w:val="false"/>
                <w:sz w:val="20"/>
              </w:rPr>
              <w:t> </w:t>
            </w:r>
          </w:p>
        </w:tc>
      </w:tr>
      <w:tr>
        <w:trPr/>
        <w:tc>
          <w:tcPr>
            <w:tcW w:w="1760"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3</w:t>
            </w:r>
            <w:r>
              <w:rPr>
                <w:sz w:val="20"/>
                <w:shd w:fill="FFFFFF" w:val="clear"/>
              </w:rPr>
              <w:t>, 2026</w:t>
            </w:r>
          </w:p>
        </w:tc>
        <w:tc>
          <w:tcPr>
            <w:tcW w:w="327" w:type="dxa"/>
            <w:tcBorders/>
            <w:vAlign w:val="center"/>
          </w:tcPr>
          <w:p>
            <w:pPr>
              <w:pStyle w:val="TableContents"/>
              <w:bidi w:val="0"/>
              <w:spacing w:before="0" w:after="283"/>
              <w:jc w:val="left"/>
              <w:rPr>
                <w:sz w:val="20"/>
              </w:rPr>
            </w:pPr>
            <w:r>
              <w:rPr>
                <w:sz w:val="20"/>
              </w:rPr>
              <w:t>By:</w:t>
            </w:r>
          </w:p>
        </w:tc>
        <w:tc>
          <w:tcPr>
            <w:tcW w:w="2541"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Herb Cross</w:t>
            </w:r>
          </w:p>
        </w:tc>
      </w:tr>
      <w:tr>
        <w:trPr/>
        <w:tc>
          <w:tcPr>
            <w:tcW w:w="17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sz w:val="20"/>
              </w:rPr>
            </w:pPr>
            <w:r>
              <w:rPr>
                <w:sz w:val="20"/>
              </w:rPr>
              <w:t xml:space="preserve">Name: </w:t>
            </w:r>
          </w:p>
        </w:tc>
        <w:tc>
          <w:tcPr>
            <w:tcW w:w="1938" w:type="dxa"/>
            <w:tcBorders/>
            <w:vAlign w:val="center"/>
          </w:tcPr>
          <w:p>
            <w:pPr>
              <w:pStyle w:val="TableContents"/>
              <w:bidi w:val="0"/>
              <w:spacing w:before="0" w:after="283"/>
              <w:jc w:val="left"/>
              <w:rPr>
                <w:sz w:val="20"/>
              </w:rPr>
            </w:pPr>
            <w:r>
              <w:rPr>
                <w:sz w:val="20"/>
              </w:rPr>
              <w:t>Herb Cross</w:t>
            </w:r>
          </w:p>
        </w:tc>
      </w:tr>
      <w:tr>
        <w:trPr/>
        <w:tc>
          <w:tcPr>
            <w:tcW w:w="17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sz w:val="20"/>
                <w:shd w:fill="FFFFFF" w:val="clear"/>
              </w:rPr>
            </w:pPr>
            <w:r>
              <w:rPr>
                <w:sz w:val="20"/>
                <w:shd w:fill="FFFFFF" w:val="clear"/>
              </w:rPr>
              <w:t xml:space="preserve">Title: </w:t>
            </w:r>
          </w:p>
        </w:tc>
        <w:tc>
          <w:tcPr>
            <w:tcW w:w="1938" w:type="dxa"/>
            <w:tcBorders/>
            <w:vAlign w:val="center"/>
          </w:tcPr>
          <w:p>
            <w:pPr>
              <w:pStyle w:val="TableContents"/>
              <w:bidi w:val="0"/>
              <w:spacing w:before="0" w:after="283"/>
              <w:jc w:val="left"/>
              <w:rPr>
                <w:sz w:val="20"/>
                <w:shd w:fill="FFFFFF" w:val="clear"/>
              </w:rPr>
            </w:pPr>
            <w:r>
              <w:rPr>
                <w:sz w:val="20"/>
                <w:shd w:fill="FFFFFF" w:val="clear"/>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3460</Characters>
  <CharactersWithSpaces>4095</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