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Song Wenru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Head of R&amp;D</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57"/>
        <w:gridCol w:w="1950"/>
        <w:gridCol w:w="1146"/>
        <w:gridCol w:w="2652"/>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57"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4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1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3,150</w:t>
            </w:r>
            <w:r>
              <w:rPr>
                <w:rFonts w:ascii="Times;serif" w:hAnsi="Times;serif"/>
                <w:color w:val="008000"/>
                <w:position w:val="7"/>
                <w:sz w:val="16"/>
                <w:sz w:val="20"/>
                <w:shd w:fill="FFFFFF" w:val="clear"/>
              </w:rPr>
              <w:t>(7)</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2019 WMML Revocable Trust</w:t>
            </w:r>
          </w:p>
        </w:tc>
      </w:tr>
      <w:tr>
        <w:trPr/>
        <w:tc>
          <w:tcPr>
            <w:tcW w:w="44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1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2,816</w:t>
            </w:r>
            <w:r>
              <w:rPr>
                <w:rFonts w:ascii="Times;serif" w:hAnsi="Times;serif"/>
                <w:color w:val="008000"/>
                <w:position w:val="7"/>
                <w:sz w:val="16"/>
                <w:sz w:val="20"/>
                <w:shd w:fill="FFFFFF" w:val="clear"/>
              </w:rPr>
              <w:t>(6)(7)</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2019 WMML Revocable Trust</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515"/>
        <w:gridCol w:w="928"/>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51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(1)(2)(3)(6)</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(1)(2)(3)(6)</w:t>
            </w:r>
          </w:p>
        </w:tc>
        <w:tc>
          <w:tcPr>
            <w:tcW w:w="15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(1)(2)(4)(6)</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(1)(2)(4)(6)</w:t>
            </w:r>
          </w:p>
        </w:tc>
        <w:tc>
          <w:tcPr>
            <w:tcW w:w="15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(1)(2)(5)(6)</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(1)(2)(5)(6)</w:t>
            </w:r>
          </w:p>
        </w:tc>
        <w:tc>
          <w:tcPr>
            <w:tcW w:w="15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Voting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(1)(2)(3)(6)</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(1)(2)(3)(6)</w:t>
            </w:r>
          </w:p>
        </w:tc>
        <w:tc>
          <w:tcPr>
            <w:tcW w:w="15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165.92</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(1)(2)(4)(6)</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(1)(2)(4)(6)</w:t>
            </w:r>
          </w:p>
        </w:tc>
        <w:tc>
          <w:tcPr>
            <w:tcW w:w="15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172.63</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(1)(2)(5)(6)</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(1)(2)(5)(6)</w:t>
            </w:r>
          </w:p>
        </w:tc>
        <w:tc>
          <w:tcPr>
            <w:tcW w:w="15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Non Voting Convertible Preferred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218.99</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Agreement and Plan of Merger by and among Kira Pharmaceuticals ("Kira"), Jasper Therapeutics, Inc. ("Jasper") and Kira Holdco Inc. ("Merger Sub"), a wholly owned subsidiary of Jasper, dated July 16, 2026 (the "Merger Agreement"), Kira merged with and into Merger Sub, with Merger Sub surviving (the "Merger"). Each option to purchase shares of Kira ordinary shares (each, a "Kira Option") that was outstanding and unexercised immediately prior to the closing of the Merger, whether or not vested, was converted into and became an option to purchase Jasper's voting common stock, par value $0.0001 per share ("Voting Common Stock") and shares of the Jasper Non-Voting Convertible Preferred Stock, par value $0.0001 ("Preferred Stock") pursuant to the terms and conditions of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the Reporting Person received 630 options to purchase shares of Voting Common Stock and 563 options to purchase shares of Preferred Stock in exchange for 3,800 Kira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the Reporting Person received 1,973 options to purchase shares of Voting Common Stock and 1,764 options to purchase shares of Preferred Stock in exchange for 11,900 Kira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Merger Agreement, the Reporting Person received 5,885 options to purchase shares of Voting Common Stock and 5,262 options to purchase shares of Preferred Stock in exchange for 35,500 Kira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the third business day following the receipt of stockholder approval of the conversion of the Preferred Stock, each share of preferred stock shall automatically convert into 61 shares of the Issuer's Voting Common Stock, subject to certain limitations, including that a holder of Preferred Stock is prohibited from converting shares of preferred stock into shares of Voting Common Stock if, as a result of such conversion, such holder, together with its affiliates, would beneficially own more than a specified percentage (to be established by the holder between 4.9% and 19.9%) of the total number of shares of Voting Common Stock issued and outstanding immediately after giving effect to such conversion. The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a029895204ex-24.htm"/>
      <w:bookmarkStart w:id="3" w:name="ksea029895204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makes, constitutes and appoints each of Herb Cross and Jeetinder Singh Mahal (also known as Jeet Mahal),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Jasper Therapeutics, Inc. (the “Company”),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Submit and file SEC Filings with the SEC utilizing the EDGAR system or cause them to be submitted and filed by a person appointed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File, submit or otherwise deliver SEC Filings to any securities exchange on which the Company’s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July 21, 2026.</w:t>
      </w:r>
    </w:p>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12" w:space="0" w:color="000000"/>
            </w:tcBorders>
            <w:vAlign w:val="center"/>
          </w:tcPr>
          <w:p>
            <w:pPr>
              <w:pStyle w:val="TableContents"/>
              <w:bidi w:val="0"/>
              <w:spacing w:before="0" w:after="283"/>
              <w:jc w:val="left"/>
              <w:rPr/>
            </w:pPr>
            <w:r>
              <w:rPr/>
              <w:t xml:space="preserve">/s/ </w:t>
            </w:r>
            <w:r>
              <w:rPr>
                <w:i/>
              </w:rPr>
              <w:t>Wenru Song</w:t>
            </w:r>
          </w:p>
        </w:tc>
        <w:tc>
          <w:tcPr>
            <w:tcW w:w="75" w:type="dxa"/>
            <w:tcBorders/>
            <w:tcMar>
              <w:bottom w:w="0" w:type="dxa"/>
            </w:tcMar>
            <w:vAlign w:val="center"/>
          </w:tcPr>
          <w:p>
            <w:pPr>
              <w:pStyle w:val="TableContents"/>
              <w:bidi w:val="0"/>
              <w:spacing w:before="0" w:after="283"/>
              <w:jc w:val="both"/>
              <w:rPr/>
            </w:pPr>
            <w:r>
              <w:rPr/>
              <w:t> </w:t>
            </w:r>
          </w:p>
        </w:tc>
      </w:tr>
      <w:tr>
        <w:trPr/>
        <w:tc>
          <w:tcPr>
            <w:tcW w:w="1475" w:type="dxa"/>
            <w:tcBorders/>
            <w:tcMar>
              <w:bottom w:w="0" w:type="dxa"/>
            </w:tcMar>
            <w:vAlign w:val="center"/>
          </w:tcPr>
          <w:p>
            <w:pPr>
              <w:pStyle w:val="TableContents"/>
              <w:bidi w:val="0"/>
              <w:spacing w:before="0" w:after="283"/>
              <w:jc w:val="left"/>
              <w:rPr/>
            </w:pPr>
            <w:r>
              <w:rPr/>
              <w:t>Wenru Song</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140"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1804</Words>
  <Characters>9791</Characters>
  <CharactersWithSpaces>11506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