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Crutcher Patrick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Non-Voting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888</w:t>
            </w:r>
            <w:r>
              <w:rPr>
                <w:rFonts w:ascii="Times;serif" w:hAnsi="Times;serif"/>
                <w:color w:val="008000"/>
                <w:position w:val="7"/>
                <w:sz w:val="16"/>
                <w:sz w:val="20"/>
                <w:shd w:fill="FFFFFF" w:val="clear"/>
              </w:rPr>
              <w:t>(2)(3)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shall vest as follows: 25% on the one-year anniversary of the date of grant and the remaining shares shall vest in equal monthly installments over the next 36 months until fully vested, subject to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16, 2026, the Issuer entered into a securities purchase agreement (the "Purchase Agreement") with certain accredited investors, including the Reporting Person. Pursuant to the terms of the Purchase Agreement, the Issuer issued and sold the referenced shares of preferred stock to the Reporting Person in a private placement, which closed on July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the third business day following the receipt of stockholder approval of the conversion of the preferred stock, each share of preferred stock shall automatically convert into 61 shares of the Issuer's voting common stock ("Voting Common Stock"), subject to certain limitations, including that a holder of preferred stock is prohibited from converting shares of preferred stock into shares of Voting Common Stock if, as a result of such conversion, such holder, together with its affiliates, would beneficially own more than a specified percentage (to be established by the holder between 4.9% and 19.9%) of the total number of shares of Voting Common Stock issued and outstanding immediately after giving effect to such conversion. The preferred stock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Crutcher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540" TargetMode="External"/><Relationship Id="rId5" Type="http://schemas.openxmlformats.org/officeDocument/2006/relationships/hyperlink" Target="http://www.sec.gov/cgi-bin/browse-edgar?action=getcompany&amp;CIK=00017880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4420</Characters>
  <CharactersWithSpaces>5150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