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10-K</w:t>
      </w:r>
    </w:p>
    <w:p>
      <w:pPr>
        <w:spacing w:after="0" w:line="144"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000" w:right="1120" w:hanging="2874"/>
        <w:spacing w:after="0" w:line="399" w:lineRule="auto"/>
        <w:tabs>
          <w:tab w:leader="none" w:pos="132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2021</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44" w:lineRule="exact"/>
        <w:rPr>
          <w:rFonts w:ascii="MS PGothic" w:cs="MS PGothic" w:eastAsia="MS PGothic" w:hAnsi="MS PGothic"/>
          <w:sz w:val="18"/>
          <w:szCs w:val="18"/>
          <w:color w:val="auto"/>
        </w:rPr>
      </w:pPr>
    </w:p>
    <w:p>
      <w:pPr>
        <w:jc w:val="center"/>
        <w:ind w:left="3160" w:right="940" w:hanging="2219"/>
        <w:spacing w:after="0" w:line="409" w:lineRule="auto"/>
        <w:tabs>
          <w:tab w:leader="none" w:pos="11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 to ______________</w:t>
      </w:r>
    </w:p>
    <w:p>
      <w:pPr>
        <w:ind w:left="426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001-39138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91"/>
              </w:rPr>
              <w:t>Delaware</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rPr>
              <w:t>84-2984849</w:t>
            </w:r>
          </w:p>
        </w:tc>
      </w:tr>
      <w:tr>
        <w:trPr>
          <w:trHeight w:val="202"/>
        </w:trPr>
        <w:tc>
          <w:tcPr>
            <w:tcW w:w="4560" w:type="dxa"/>
            <w:vAlign w:val="bottom"/>
            <w:gridSpan w:val="3"/>
          </w:tcPr>
          <w:p>
            <w:pPr>
              <w:jc w:val="center"/>
              <w:ind w:left="830"/>
              <w:spacing w:after="0" w:line="201" w:lineRule="exact"/>
              <w:rPr>
                <w:sz w:val="20"/>
                <w:szCs w:val="20"/>
                <w:color w:val="auto"/>
              </w:rPr>
            </w:pPr>
            <w:r>
              <w:rPr>
                <w:rFonts w:ascii="Arial" w:cs="Arial" w:eastAsia="Arial" w:hAnsi="Arial"/>
                <w:sz w:val="18"/>
                <w:szCs w:val="18"/>
                <w:color w:val="auto"/>
                <w:w w:val="92"/>
              </w:rPr>
              <w:t>(State or other jurisdiction of</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jc w:val="center"/>
              <w:ind w:right="18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60" w:type="dxa"/>
            <w:vAlign w:val="bottom"/>
            <w:gridSpan w:val="3"/>
          </w:tcPr>
          <w:p>
            <w:pPr>
              <w:jc w:val="center"/>
              <w:ind w:left="870"/>
              <w:spacing w:after="0"/>
              <w:rPr>
                <w:sz w:val="20"/>
                <w:szCs w:val="20"/>
                <w:color w:val="auto"/>
              </w:rPr>
            </w:pPr>
            <w:r>
              <w:rPr>
                <w:rFonts w:ascii="Arial" w:cs="Arial" w:eastAsia="Arial" w:hAnsi="Arial"/>
                <w:sz w:val="18"/>
                <w:szCs w:val="18"/>
                <w:color w:val="auto"/>
                <w:w w:val="92"/>
              </w:rPr>
              <w:t>incorporation or organization)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333"/>
        </w:trPr>
        <w:tc>
          <w:tcPr>
            <w:tcW w:w="45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0"/>
              </w:rPr>
              <w:t>2200 Bridge Pkwy Suite #102</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56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92"/>
              </w:rPr>
              <w:t>Redwood City, CA</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94065</w:t>
            </w:r>
          </w:p>
        </w:tc>
      </w:tr>
      <w:tr>
        <w:trPr>
          <w:trHeight w:val="230"/>
        </w:trPr>
        <w:tc>
          <w:tcPr>
            <w:tcW w:w="4560" w:type="dxa"/>
            <w:vAlign w:val="bottom"/>
            <w:gridSpan w:val="3"/>
          </w:tcPr>
          <w:p>
            <w:pPr>
              <w:jc w:val="center"/>
              <w:ind w:left="87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r>
        <w:trPr>
          <w:trHeight w:val="34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center"/>
              <w:ind w:right="720"/>
              <w:spacing w:after="0"/>
              <w:rPr>
                <w:sz w:val="20"/>
                <w:szCs w:val="20"/>
                <w:color w:val="auto"/>
              </w:rPr>
            </w:pPr>
            <w:r>
              <w:rPr>
                <w:rFonts w:ascii="Arial" w:cs="Arial" w:eastAsia="Arial" w:hAnsi="Arial"/>
                <w:sz w:val="18"/>
                <w:szCs w:val="18"/>
                <w:b w:val="1"/>
                <w:bCs w:val="1"/>
                <w:color w:val="auto"/>
                <w:w w:val="90"/>
              </w:rPr>
              <w:t>(650) 549-1400</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r>
        <w:trPr>
          <w:trHeight w:val="337"/>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8"/>
        </w:trPr>
        <w:tc>
          <w:tcPr>
            <w:tcW w:w="456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6"/>
              </w:rPr>
              <w:t>Title of each class</w:t>
            </w:r>
          </w:p>
        </w:tc>
        <w:tc>
          <w:tcPr>
            <w:tcW w:w="308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Voting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80" w:type="dxa"/>
            <w:vAlign w:val="bottom"/>
            <w:tcBorders>
              <w:top w:val="single" w:sz="8" w:color="auto"/>
            </w:tcBorders>
            <w:gridSpan w:val="3"/>
            <w:shd w:val="clear" w:color="auto" w:fill="CCEEFF"/>
          </w:tcPr>
          <w:p>
            <w:pPr>
              <w:jc w:val="center"/>
              <w:ind w:right="720"/>
              <w:spacing w:after="0" w:line="201" w:lineRule="exact"/>
              <w:rPr>
                <w:sz w:val="20"/>
                <w:szCs w:val="20"/>
                <w:color w:val="auto"/>
              </w:rPr>
            </w:pPr>
            <w:r>
              <w:rPr>
                <w:rFonts w:ascii="Arial" w:cs="Arial" w:eastAsia="Arial" w:hAnsi="Arial"/>
                <w:sz w:val="18"/>
                <w:szCs w:val="18"/>
                <w:color w:val="auto"/>
                <w:w w:val="86"/>
              </w:rPr>
              <w:t>JSPR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4560" w:type="dxa"/>
            <w:vAlign w:val="bottom"/>
            <w:gridSpan w:val="3"/>
            <w:shd w:val="clear" w:color="auto" w:fill="CCEEFF"/>
          </w:tcPr>
          <w:p>
            <w:pPr>
              <w:jc w:val="center"/>
              <w:ind w:right="940"/>
              <w:spacing w:after="0"/>
              <w:rPr>
                <w:sz w:val="20"/>
                <w:szCs w:val="20"/>
                <w:color w:val="auto"/>
              </w:rPr>
            </w:pPr>
            <w:r>
              <w:rPr>
                <w:rFonts w:ascii="Arial" w:cs="Arial" w:eastAsia="Arial" w:hAnsi="Arial"/>
                <w:sz w:val="18"/>
                <w:szCs w:val="18"/>
                <w:color w:val="auto"/>
                <w:w w:val="84"/>
              </w:rPr>
              <w:t>share</w:t>
            </w: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02"/>
        </w:trPr>
        <w:tc>
          <w:tcPr>
            <w:tcW w:w="4560" w:type="dxa"/>
            <w:vAlign w:val="bottom"/>
            <w:gridSpan w:val="3"/>
          </w:tcPr>
          <w:p>
            <w:pPr>
              <w:jc w:val="center"/>
              <w:ind w:right="940"/>
              <w:spacing w:after="0" w:line="201" w:lineRule="exact"/>
              <w:rPr>
                <w:sz w:val="20"/>
                <w:szCs w:val="20"/>
                <w:color w:val="auto"/>
              </w:rPr>
            </w:pPr>
            <w:r>
              <w:rPr>
                <w:rFonts w:ascii="Arial" w:cs="Arial" w:eastAsia="Arial" w:hAnsi="Arial"/>
                <w:sz w:val="18"/>
                <w:szCs w:val="18"/>
                <w:color w:val="auto"/>
                <w:w w:val="88"/>
              </w:rPr>
              <w:t>Redeemable Warrants, each whole warrant</w:t>
            </w:r>
          </w:p>
        </w:tc>
        <w:tc>
          <w:tcPr>
            <w:tcW w:w="3080" w:type="dxa"/>
            <w:vAlign w:val="bottom"/>
            <w:gridSpan w:val="4"/>
          </w:tcPr>
          <w:p>
            <w:pPr>
              <w:jc w:val="center"/>
              <w:ind w:right="920"/>
              <w:spacing w:after="0" w:line="201" w:lineRule="exact"/>
              <w:rPr>
                <w:sz w:val="20"/>
                <w:szCs w:val="20"/>
                <w:color w:val="auto"/>
              </w:rPr>
            </w:pPr>
            <w:r>
              <w:rPr>
                <w:rFonts w:ascii="Arial" w:cs="Arial" w:eastAsia="Arial" w:hAnsi="Arial"/>
                <w:sz w:val="18"/>
                <w:szCs w:val="18"/>
                <w:color w:val="auto"/>
                <w:w w:val="88"/>
              </w:rPr>
              <w:t>JSPRW</w:t>
            </w:r>
          </w:p>
        </w:tc>
        <w:tc>
          <w:tcPr>
            <w:tcW w:w="360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4560" w:type="dxa"/>
            <w:vAlign w:val="bottom"/>
            <w:gridSpan w:val="3"/>
          </w:tcPr>
          <w:p>
            <w:pPr>
              <w:jc w:val="center"/>
              <w:ind w:right="940"/>
              <w:spacing w:after="0"/>
              <w:rPr>
                <w:sz w:val="20"/>
                <w:szCs w:val="20"/>
                <w:color w:val="auto"/>
              </w:rPr>
            </w:pPr>
            <w:r>
              <w:rPr>
                <w:rFonts w:ascii="Arial" w:cs="Arial" w:eastAsia="Arial" w:hAnsi="Arial"/>
                <w:sz w:val="18"/>
                <w:szCs w:val="18"/>
                <w:color w:val="auto"/>
                <w:w w:val="90"/>
              </w:rPr>
              <w:t>exercisable for one share of Voting Common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4560" w:type="dxa"/>
            <w:vAlign w:val="bottom"/>
            <w:gridSpan w:val="3"/>
          </w:tcPr>
          <w:p>
            <w:pPr>
              <w:jc w:val="center"/>
              <w:ind w:right="940"/>
              <w:spacing w:after="0"/>
              <w:rPr>
                <w:sz w:val="20"/>
                <w:szCs w:val="20"/>
                <w:color w:val="auto"/>
              </w:rPr>
            </w:pPr>
            <w:r>
              <w:rPr>
                <w:rFonts w:ascii="Arial" w:cs="Arial" w:eastAsia="Arial" w:hAnsi="Arial"/>
                <w:sz w:val="18"/>
                <w:szCs w:val="18"/>
                <w:color w:val="auto"/>
                <w:w w:val="90"/>
              </w:rPr>
              <w:t>Stock at an exercise price of $11.50</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1"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0" w:gutter="0" w:footer="0" w:header="0"/>
        </w:sectPr>
      </w:pPr>
    </w:p>
    <w:p>
      <w:pPr>
        <w:spacing w:after="0" w:line="103"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61" w:lineRule="exact"/>
        <w:rPr>
          <w:sz w:val="24"/>
          <w:szCs w:val="24"/>
          <w:color w:val="auto"/>
        </w:rPr>
      </w:pPr>
    </w:p>
    <w:p>
      <w:pPr>
        <w:sectPr>
          <w:pgSz w:w="11900" w:h="16838" w:orient="portrait"/>
          <w:cols w:equalWidth="0" w:num="4">
            <w:col w:w="1620" w:space="100"/>
            <w:col w:w="4880" w:space="720"/>
            <w:col w:w="1960" w:space="80"/>
            <w:col w:w="1880"/>
          </w:cols>
          <w:pgMar w:left="320" w:top="513" w:right="339" w:bottom="0" w:gutter="0" w:footer="0" w:header="0"/>
          <w:type w:val="continuous"/>
        </w:sect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7"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2021 (the last business day of the registrant’s most recently completed second fiscal quarter) was approximately $99,400,000 based on the closing price of the registrant’s common stock on June 30, 2021 of $9.94 per share, as reported by the Nasdaq Capital Market.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140" w:type="dxa"/>
            <w:vAlign w:val="bottom"/>
            <w:gridSpan w:val="3"/>
          </w:tcPr>
          <w:p>
            <w:pPr>
              <w:ind w:left="340"/>
              <w:spacing w:after="0"/>
              <w:rPr>
                <w:sz w:val="20"/>
                <w:szCs w:val="20"/>
                <w:color w:val="auto"/>
              </w:rPr>
            </w:pPr>
            <w:r>
              <w:rPr>
                <w:rFonts w:ascii="Arial" w:cs="Arial" w:eastAsia="Arial" w:hAnsi="Arial"/>
                <w:sz w:val="18"/>
                <w:szCs w:val="18"/>
                <w:color w:val="auto"/>
                <w:w w:val="91"/>
              </w:rPr>
              <w:t>The number of shares of Registrant’s Common Stock outstanding as of March 10, 2022 was:</w:t>
            </w:r>
          </w:p>
        </w:tc>
        <w:tc>
          <w:tcPr>
            <w:tcW w:w="4100" w:type="dxa"/>
            <w:vAlign w:val="bottom"/>
          </w:tcPr>
          <w:p>
            <w:pPr>
              <w:spacing w:after="0"/>
              <w:rPr>
                <w:sz w:val="20"/>
                <w:szCs w:val="20"/>
                <w:color w:val="auto"/>
              </w:rPr>
            </w:pPr>
          </w:p>
        </w:tc>
      </w:tr>
      <w:tr>
        <w:trPr>
          <w:trHeight w:val="333"/>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41"/>
        </w:trPr>
        <w:tc>
          <w:tcPr>
            <w:tcW w:w="714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83"/>
              </w:rPr>
              <w:t>Class</w:t>
            </w:r>
          </w:p>
        </w:tc>
        <w:tc>
          <w:tcPr>
            <w:tcW w:w="4100" w:type="dxa"/>
            <w:vAlign w:val="bottom"/>
          </w:tcPr>
          <w:p>
            <w:pPr>
              <w:jc w:val="center"/>
              <w:ind w:right="1310"/>
              <w:spacing w:after="0"/>
              <w:rPr>
                <w:sz w:val="20"/>
                <w:szCs w:val="20"/>
                <w:color w:val="auto"/>
              </w:rPr>
            </w:pPr>
            <w:r>
              <w:rPr>
                <w:rFonts w:ascii="Arial" w:cs="Arial" w:eastAsia="Arial" w:hAnsi="Arial"/>
                <w:sz w:val="18"/>
                <w:szCs w:val="18"/>
                <w:b w:val="1"/>
                <w:bCs w:val="1"/>
                <w:color w:val="auto"/>
                <w:w w:val="90"/>
              </w:rPr>
              <w:t>As of March 10, 2022</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Voting Common Stock, $0.0001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color w:val="auto"/>
              </w:rPr>
              <w:t>36,577,576</w:t>
            </w:r>
          </w:p>
        </w:tc>
      </w:tr>
      <w:tr>
        <w:trPr>
          <w:trHeight w:val="230"/>
        </w:trPr>
        <w:tc>
          <w:tcPr>
            <w:tcW w:w="7140" w:type="dxa"/>
            <w:vAlign w:val="bottom"/>
            <w:gridSpan w:val="3"/>
          </w:tcPr>
          <w:p>
            <w:pPr>
              <w:jc w:val="center"/>
              <w:ind w:right="1620"/>
              <w:spacing w:after="0"/>
              <w:rPr>
                <w:sz w:val="20"/>
                <w:szCs w:val="20"/>
                <w:color w:val="auto"/>
              </w:rPr>
            </w:pPr>
            <w:r>
              <w:rPr>
                <w:rFonts w:ascii="Arial" w:cs="Arial" w:eastAsia="Arial" w:hAnsi="Arial"/>
                <w:sz w:val="18"/>
                <w:szCs w:val="18"/>
                <w:color w:val="auto"/>
                <w:w w:val="91"/>
              </w:rPr>
              <w:t>Non-Voting Common Stock, $0.0001 par value</w:t>
            </w:r>
          </w:p>
        </w:tc>
        <w:tc>
          <w:tcPr>
            <w:tcW w:w="4100" w:type="dxa"/>
            <w:vAlign w:val="bottom"/>
          </w:tcPr>
          <w:p>
            <w:pPr>
              <w:jc w:val="right"/>
              <w:ind w:right="2290"/>
              <w:spacing w:after="0"/>
              <w:rPr>
                <w:sz w:val="20"/>
                <w:szCs w:val="20"/>
                <w:color w:val="auto"/>
              </w:rPr>
            </w:pPr>
            <w:r>
              <w:rPr>
                <w:rFonts w:ascii="Arial" w:cs="Arial" w:eastAsia="Arial" w:hAnsi="Arial"/>
                <w:sz w:val="18"/>
                <w:szCs w:val="18"/>
                <w:color w:val="auto"/>
              </w:rPr>
              <w:t>1,296,022</w:t>
            </w:r>
          </w:p>
        </w:tc>
      </w:tr>
    </w:tbl>
    <w:p>
      <w:pPr>
        <w:sectPr>
          <w:pgSz w:w="11900" w:h="16838" w:orient="portrait"/>
          <w:cols w:equalWidth="0" w:num="1">
            <w:col w:w="11240"/>
          </w:cols>
          <w:pgMar w:left="320" w:top="513" w:right="339" w:bottom="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color w:val="auto"/>
        </w:rPr>
        <w:t>DOCUMENTS INCORPORATED BY REFERENCE</w:t>
      </w:r>
    </w:p>
    <w:p>
      <w:pPr>
        <w:spacing w:after="0" w:line="14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Portions of the Registrant’s Definitive Proxy Statement relating to the 2022 Annual Meeting of Stockholders, which will be filed with the Securities and Exchange Commission within 120 days after the end of the Registrant’s fiscal year ended December 31, 2021,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80" w:type="dxa"/>
            <w:vAlign w:val="bottom"/>
            <w:gridSpan w:val="17"/>
          </w:tcPr>
          <w:p>
            <w:pPr>
              <w:jc w:val="center"/>
              <w:ind w:right="3800"/>
              <w:spacing w:after="0"/>
              <w:rPr>
                <w:sz w:val="20"/>
                <w:szCs w:val="20"/>
                <w:color w:val="auto"/>
              </w:rPr>
            </w:pPr>
            <w:r>
              <w:rPr>
                <w:rFonts w:ascii="Arial" w:cs="Arial" w:eastAsia="Arial" w:hAnsi="Arial"/>
                <w:sz w:val="18"/>
                <w:szCs w:val="18"/>
                <w:b w:val="1"/>
                <w:bCs w:val="1"/>
                <w:color w:val="auto"/>
                <w:w w:val="99"/>
              </w:rPr>
              <w:t>TABLE OF CONTENTS</w:t>
            </w:r>
          </w:p>
        </w:tc>
        <w:tc>
          <w:tcPr>
            <w:tcW w:w="112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20" w:type="dxa"/>
            <w:vAlign w:val="bottom"/>
            <w:gridSpan w:val="14"/>
            <w:shd w:val="clear" w:color="auto" w:fill="CCEEFF"/>
          </w:tcPr>
          <w:p>
            <w:pPr>
              <w:jc w:val="center"/>
              <w:ind w:right="4560"/>
              <w:spacing w:after="0" w:line="176" w:lineRule="exact"/>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1120" w:type="dxa"/>
            <w:vAlign w:val="bottom"/>
            <w:shd w:val="clear" w:color="auto" w:fill="CCEEFF"/>
          </w:tcPr>
          <w:p>
            <w:pPr>
              <w:spacing w:after="0"/>
              <w:rPr>
                <w:sz w:val="17"/>
                <w:szCs w:val="17"/>
                <w:color w:val="auto"/>
              </w:rPr>
            </w:pPr>
          </w:p>
        </w:tc>
      </w:tr>
      <w:tr>
        <w:trPr>
          <w:trHeight w:val="216"/>
        </w:trPr>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w:t>
            </w:r>
          </w:p>
        </w:tc>
        <w:tc>
          <w:tcPr>
            <w:tcW w:w="60" w:type="dxa"/>
            <w:vAlign w:val="bottom"/>
            <w:shd w:val="clear" w:color="auto" w:fill="CCEEFF"/>
          </w:tcPr>
          <w:p>
            <w:pPr>
              <w:spacing w:after="0"/>
              <w:rPr>
                <w:sz w:val="15"/>
                <w:szCs w:val="15"/>
                <w:color w:val="auto"/>
              </w:rPr>
            </w:pPr>
          </w:p>
        </w:tc>
        <w:tc>
          <w:tcPr>
            <w:tcW w:w="9320" w:type="dxa"/>
            <w:vAlign w:val="bottom"/>
            <w:gridSpan w:val="29"/>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Business.</w:t>
              </w:r>
            </w:hyperlink>
          </w:p>
        </w:tc>
        <w:tc>
          <w:tcPr>
            <w:tcW w:w="112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99"/>
              </w:rPr>
              <w:t>3</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1A.</w:t>
            </w:r>
          </w:p>
        </w:tc>
        <w:tc>
          <w:tcPr>
            <w:tcW w:w="60" w:type="dxa"/>
            <w:vAlign w:val="bottom"/>
          </w:tcPr>
          <w:p>
            <w:pPr>
              <w:spacing w:after="0"/>
              <w:rPr>
                <w:sz w:val="15"/>
                <w:szCs w:val="15"/>
                <w:color w:val="auto"/>
              </w:rPr>
            </w:pPr>
          </w:p>
        </w:tc>
        <w:tc>
          <w:tcPr>
            <w:tcW w:w="9320" w:type="dxa"/>
            <w:vAlign w:val="bottom"/>
            <w:gridSpan w:val="29"/>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Risk Factors.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9"/>
              </w:rPr>
              <w:t>35</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1B.</w:t>
            </w:r>
          </w:p>
        </w:tc>
        <w:tc>
          <w:tcPr>
            <w:tcW w:w="60" w:type="dxa"/>
            <w:vAlign w:val="bottom"/>
            <w:shd w:val="clear" w:color="auto" w:fill="CCEEFF"/>
          </w:tcPr>
          <w:p>
            <w:pPr>
              <w:spacing w:after="0"/>
              <w:rPr>
                <w:sz w:val="17"/>
                <w:szCs w:val="17"/>
                <w:color w:val="auto"/>
              </w:rPr>
            </w:pPr>
          </w:p>
        </w:tc>
        <w:tc>
          <w:tcPr>
            <w:tcW w:w="9320" w:type="dxa"/>
            <w:vAlign w:val="bottom"/>
            <w:gridSpan w:val="29"/>
            <w:shd w:val="clear" w:color="auto" w:fill="CCEEFF"/>
          </w:tcPr>
          <w:p>
            <w:pPr>
              <w:spacing w:after="0" w:line="176"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Unresolved Staff Comments.</w:t>
              </w:r>
            </w:hyperlink>
          </w:p>
        </w:tc>
        <w:tc>
          <w:tcPr>
            <w:tcW w:w="112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9"/>
              </w:rPr>
              <w:t>94</w:t>
            </w:r>
          </w:p>
        </w:tc>
      </w:tr>
      <w:tr>
        <w:trPr>
          <w:trHeight w:val="175"/>
        </w:trPr>
        <w:tc>
          <w:tcPr>
            <w:tcW w:w="7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2.</w:t>
            </w:r>
          </w:p>
        </w:tc>
        <w:tc>
          <w:tcPr>
            <w:tcW w:w="60" w:type="dxa"/>
            <w:vAlign w:val="bottom"/>
            <w:tcBorders>
              <w:top w:val="single" w:sz="8" w:color="CCEEFF"/>
            </w:tcBorders>
          </w:tcPr>
          <w:p>
            <w:pPr>
              <w:spacing w:after="0"/>
              <w:rPr>
                <w:sz w:val="15"/>
                <w:szCs w:val="15"/>
                <w:color w:val="auto"/>
              </w:rPr>
            </w:pPr>
          </w:p>
        </w:tc>
        <w:tc>
          <w:tcPr>
            <w:tcW w:w="2200" w:type="dxa"/>
            <w:vAlign w:val="bottom"/>
            <w:tcBorders>
              <w:top w:val="single" w:sz="8" w:color="0000EE"/>
            </w:tcBorders>
            <w:gridSpan w:val="10"/>
          </w:tcPr>
          <w:p>
            <w:pPr>
              <w:spacing w:after="0" w:line="176"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Properties</w:t>
              </w:r>
              <w:r>
                <w:rPr>
                  <w:rFonts w:ascii="Arial" w:cs="Arial" w:eastAsia="Arial" w:hAnsi="Arial"/>
                  <w:sz w:val="18"/>
                  <w:szCs w:val="18"/>
                  <w:color w:val="0000EE"/>
                </w:rPr>
                <w:t>.</w:t>
              </w:r>
            </w:hyperlink>
          </w:p>
        </w:tc>
        <w:tc>
          <w:tcPr>
            <w:tcW w:w="7120" w:type="dxa"/>
            <w:vAlign w:val="bottom"/>
            <w:tcBorders>
              <w:top w:val="single" w:sz="8" w:color="CCEEFF"/>
            </w:tcBorders>
            <w:gridSpan w:val="19"/>
          </w:tcPr>
          <w:p>
            <w:pPr>
              <w:spacing w:after="0"/>
              <w:rPr>
                <w:sz w:val="15"/>
                <w:szCs w:val="15"/>
                <w:color w:val="auto"/>
              </w:rPr>
            </w:pPr>
          </w:p>
        </w:tc>
        <w:tc>
          <w:tcPr>
            <w:tcW w:w="1120" w:type="dxa"/>
            <w:vAlign w:val="bottom"/>
            <w:tcBorders>
              <w:top w:val="single" w:sz="8" w:color="CCEEFF"/>
            </w:tcBorders>
          </w:tcPr>
          <w:p>
            <w:pPr>
              <w:jc w:val="center"/>
              <w:ind w:left="250"/>
              <w:spacing w:after="0" w:line="176" w:lineRule="exact"/>
              <w:rPr>
                <w:sz w:val="20"/>
                <w:szCs w:val="20"/>
                <w:color w:val="auto"/>
              </w:rPr>
            </w:pPr>
            <w:r>
              <w:rPr>
                <w:rFonts w:ascii="Arial" w:cs="Arial" w:eastAsia="Arial" w:hAnsi="Arial"/>
                <w:sz w:val="18"/>
                <w:szCs w:val="18"/>
                <w:color w:val="auto"/>
                <w:w w:val="89"/>
              </w:rPr>
              <w:t>94</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3.</w:t>
            </w:r>
          </w:p>
        </w:tc>
        <w:tc>
          <w:tcPr>
            <w:tcW w:w="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87"/>
              </w:rPr>
            </w:pPr>
            <w:hyperlink w:anchor="page97">
              <w:r>
                <w:rPr>
                  <w:rFonts w:ascii="Arial" w:cs="Arial" w:eastAsia="Arial" w:hAnsi="Arial"/>
                  <w:sz w:val="18"/>
                  <w:szCs w:val="18"/>
                  <w:b w:val="1"/>
                  <w:bCs w:val="1"/>
                  <w:color w:val="0000EE"/>
                  <w:w w:val="87"/>
                </w:rPr>
                <w:t>Legal Proceedings.</w:t>
              </w:r>
            </w:hyperlink>
          </w:p>
        </w:tc>
        <w:tc>
          <w:tcPr>
            <w:tcW w:w="7860" w:type="dxa"/>
            <w:vAlign w:val="bottom"/>
            <w:tcBorders>
              <w:bottom w:val="single" w:sz="8" w:color="CCEEFF"/>
            </w:tcBorders>
            <w:gridSpan w:val="2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9"/>
              </w:rPr>
              <w:t>94</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4.</w:t>
            </w:r>
          </w:p>
        </w:tc>
        <w:tc>
          <w:tcPr>
            <w:tcW w:w="60" w:type="dxa"/>
            <w:vAlign w:val="bottom"/>
          </w:tcPr>
          <w:p>
            <w:pPr>
              <w:spacing w:after="0"/>
              <w:rPr>
                <w:sz w:val="15"/>
                <w:szCs w:val="15"/>
                <w:color w:val="auto"/>
              </w:rPr>
            </w:pPr>
          </w:p>
        </w:tc>
        <w:tc>
          <w:tcPr>
            <w:tcW w:w="9320" w:type="dxa"/>
            <w:vAlign w:val="bottom"/>
            <w:gridSpan w:val="29"/>
          </w:tcPr>
          <w:p>
            <w:pPr>
              <w:ind w:left="40"/>
              <w:spacing w:after="0" w:line="176" w:lineRule="exact"/>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Mine Safety Disclosures.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9"/>
              </w:rPr>
              <w:t>94</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gridSpan w:val="14"/>
          </w:tcPr>
          <w:p>
            <w:pPr>
              <w:jc w:val="center"/>
              <w:ind w:right="4560"/>
              <w:spacing w:after="0" w:line="17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w:t>
              </w:r>
            </w:hyperlink>
          </w:p>
        </w:tc>
        <w:tc>
          <w:tcPr>
            <w:tcW w:w="1120" w:type="dxa"/>
            <w:vAlign w:val="bottom"/>
          </w:tcPr>
          <w:p>
            <w:pPr>
              <w:spacing w:after="0"/>
              <w:rPr>
                <w:sz w:val="15"/>
                <w:szCs w:val="15"/>
                <w:color w:val="auto"/>
              </w:rPr>
            </w:pP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5.</w:t>
            </w:r>
          </w:p>
        </w:tc>
        <w:tc>
          <w:tcPr>
            <w:tcW w:w="9380" w:type="dxa"/>
            <w:vAlign w:val="bottom"/>
            <w:gridSpan w:val="30"/>
          </w:tcPr>
          <w:p>
            <w:pPr>
              <w:ind w:left="60"/>
              <w:spacing w:after="0" w:line="176" w:lineRule="exact"/>
              <w:rPr>
                <w:rFonts w:ascii="Arial" w:cs="Arial" w:eastAsia="Arial" w:hAnsi="Arial"/>
                <w:sz w:val="18"/>
                <w:szCs w:val="18"/>
                <w:b w:val="1"/>
                <w:bCs w:val="1"/>
                <w:color w:val="0000EE"/>
                <w:w w:val="96"/>
              </w:rPr>
            </w:pPr>
            <w:hyperlink w:anchor="page98">
              <w:r>
                <w:rPr>
                  <w:rFonts w:ascii="Arial" w:cs="Arial" w:eastAsia="Arial" w:hAnsi="Arial"/>
                  <w:sz w:val="18"/>
                  <w:szCs w:val="18"/>
                  <w:b w:val="1"/>
                  <w:bCs w:val="1"/>
                  <w:color w:val="0000EE"/>
                  <w:w w:val="96"/>
                </w:rPr>
                <w:t>Market for Registrant’s Common Equity, Related Stockholder Matters and Issuer Purchases of Equity Securities.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9"/>
              </w:rPr>
              <w:t>95</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6.</w:t>
            </w: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87"/>
              </w:rPr>
            </w:pPr>
            <w:hyperlink w:anchor="page98">
              <w:r>
                <w:rPr>
                  <w:rFonts w:ascii="Arial" w:cs="Arial" w:eastAsia="Arial" w:hAnsi="Arial"/>
                  <w:sz w:val="18"/>
                  <w:szCs w:val="18"/>
                  <w:b w:val="1"/>
                  <w:bCs w:val="1"/>
                  <w:color w:val="0000EE"/>
                  <w:w w:val="87"/>
                </w:rPr>
                <w:t>[Reserved].</w:t>
              </w:r>
            </w:hyperlink>
          </w:p>
        </w:tc>
        <w:tc>
          <w:tcPr>
            <w:tcW w:w="8440" w:type="dxa"/>
            <w:vAlign w:val="bottom"/>
            <w:tcBorders>
              <w:bottom w:val="single" w:sz="8" w:color="CCEEFF"/>
            </w:tcBorders>
            <w:gridSpan w:val="2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9"/>
              </w:rPr>
              <w:t>95</w:t>
            </w: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7.</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Management’s Discussion and Analysis of Financial Condition and Results of Operations.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9"/>
              </w:rPr>
              <w:t>96</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7A.</w:t>
            </w:r>
          </w:p>
        </w:tc>
        <w:tc>
          <w:tcPr>
            <w:tcW w:w="60" w:type="dxa"/>
            <w:vAlign w:val="bottom"/>
            <w:tcBorders>
              <w:bottom w:val="single" w:sz="8" w:color="CCEEFF"/>
            </w:tcBorders>
            <w:shd w:val="clear" w:color="auto" w:fill="CCEEFF"/>
          </w:tcPr>
          <w:p>
            <w:pPr>
              <w:spacing w:after="0"/>
              <w:rPr>
                <w:sz w:val="17"/>
                <w:szCs w:val="17"/>
                <w:color w:val="auto"/>
              </w:rPr>
            </w:pPr>
          </w:p>
        </w:tc>
        <w:tc>
          <w:tcPr>
            <w:tcW w:w="47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b w:val="1"/>
                <w:bCs w:val="1"/>
                <w:color w:val="0000EE"/>
                <w:w w:val="91"/>
              </w:rPr>
            </w:pPr>
            <w:hyperlink w:anchor="page117">
              <w:r>
                <w:rPr>
                  <w:rFonts w:ascii="Arial" w:cs="Arial" w:eastAsia="Arial" w:hAnsi="Arial"/>
                  <w:sz w:val="18"/>
                  <w:szCs w:val="18"/>
                  <w:b w:val="1"/>
                  <w:bCs w:val="1"/>
                  <w:color w:val="0000EE"/>
                  <w:w w:val="91"/>
                </w:rPr>
                <w:t>Quantitative and Qualitative Disclosures About Market Risk.</w:t>
              </w:r>
            </w:hyperlink>
          </w:p>
        </w:tc>
        <w:tc>
          <w:tcPr>
            <w:tcW w:w="460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6"/>
              </w:rPr>
              <w:t>114</w:t>
            </w: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8.</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Financial Statements and Supplementary Data.</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6"/>
              </w:rPr>
              <w:t>114</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9.</w:t>
            </w:r>
          </w:p>
        </w:tc>
        <w:tc>
          <w:tcPr>
            <w:tcW w:w="60" w:type="dxa"/>
            <w:vAlign w:val="bottom"/>
            <w:shd w:val="clear" w:color="auto" w:fill="CCEEFF"/>
          </w:tcPr>
          <w:p>
            <w:pPr>
              <w:spacing w:after="0"/>
              <w:rPr>
                <w:sz w:val="17"/>
                <w:szCs w:val="17"/>
                <w:color w:val="auto"/>
              </w:rPr>
            </w:pPr>
          </w:p>
        </w:tc>
        <w:tc>
          <w:tcPr>
            <w:tcW w:w="9320" w:type="dxa"/>
            <w:vAlign w:val="bottom"/>
            <w:gridSpan w:val="29"/>
            <w:shd w:val="clear" w:color="auto" w:fill="CCEEFF"/>
          </w:tcPr>
          <w:p>
            <w:pPr>
              <w:spacing w:after="0" w:line="176" w:lineRule="exact"/>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Changes in and Disagreements With Accountants on Accounting and Financial Disclosure.</w:t>
              </w:r>
            </w:hyperlink>
          </w:p>
        </w:tc>
        <w:tc>
          <w:tcPr>
            <w:tcW w:w="112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6"/>
              </w:rPr>
              <w:t>149</w:t>
            </w:r>
          </w:p>
        </w:tc>
      </w:tr>
      <w:tr>
        <w:trPr>
          <w:trHeight w:val="176"/>
        </w:trPr>
        <w:tc>
          <w:tcPr>
            <w:tcW w:w="7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Item 9A.</w:t>
            </w:r>
          </w:p>
        </w:tc>
        <w:tc>
          <w:tcPr>
            <w:tcW w:w="60" w:type="dxa"/>
            <w:vAlign w:val="bottom"/>
            <w:tcBorders>
              <w:top w:val="single" w:sz="8" w:color="CCEEFF"/>
            </w:tcBorders>
          </w:tcPr>
          <w:p>
            <w:pPr>
              <w:spacing w:after="0"/>
              <w:rPr>
                <w:sz w:val="15"/>
                <w:szCs w:val="15"/>
                <w:color w:val="auto"/>
              </w:rPr>
            </w:pPr>
          </w:p>
        </w:tc>
        <w:tc>
          <w:tcPr>
            <w:tcW w:w="6940" w:type="dxa"/>
            <w:vAlign w:val="bottom"/>
            <w:tcBorders>
              <w:top w:val="single" w:sz="8" w:color="0000EE"/>
            </w:tcBorders>
            <w:gridSpan w:val="26"/>
          </w:tcPr>
          <w:p>
            <w:pPr>
              <w:spacing w:after="0" w:line="176" w:lineRule="exact"/>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Controls and Procedures.</w:t>
              </w:r>
            </w:hyperlink>
          </w:p>
        </w:tc>
        <w:tc>
          <w:tcPr>
            <w:tcW w:w="238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ind w:left="250"/>
              <w:spacing w:after="0" w:line="176" w:lineRule="exact"/>
              <w:rPr>
                <w:sz w:val="20"/>
                <w:szCs w:val="20"/>
                <w:color w:val="auto"/>
              </w:rPr>
            </w:pPr>
            <w:r>
              <w:rPr>
                <w:rFonts w:ascii="Arial" w:cs="Arial" w:eastAsia="Arial" w:hAnsi="Arial"/>
                <w:sz w:val="18"/>
                <w:szCs w:val="18"/>
                <w:color w:val="auto"/>
                <w:w w:val="86"/>
              </w:rPr>
              <w:t>149</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9B.</w:t>
            </w:r>
          </w:p>
        </w:tc>
        <w:tc>
          <w:tcPr>
            <w:tcW w:w="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b w:val="1"/>
                <w:bCs w:val="1"/>
                <w:color w:val="0000EE"/>
                <w:w w:val="94"/>
              </w:rPr>
            </w:pPr>
            <w:hyperlink w:anchor="page152">
              <w:r>
                <w:rPr>
                  <w:rFonts w:ascii="Arial" w:cs="Arial" w:eastAsia="Arial" w:hAnsi="Arial"/>
                  <w:sz w:val="18"/>
                  <w:szCs w:val="18"/>
                  <w:b w:val="1"/>
                  <w:bCs w:val="1"/>
                  <w:color w:val="0000EE"/>
                  <w:w w:val="94"/>
                </w:rPr>
                <w:t>Other Information.</w:t>
              </w:r>
            </w:hyperlink>
          </w:p>
        </w:tc>
        <w:tc>
          <w:tcPr>
            <w:tcW w:w="7820" w:type="dxa"/>
            <w:vAlign w:val="bottom"/>
            <w:tcBorders>
              <w:bottom w:val="single" w:sz="8" w:color="CCEEFF"/>
            </w:tcBorders>
            <w:gridSpan w:val="2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6"/>
              </w:rPr>
              <w:t>149</w:t>
            </w:r>
          </w:p>
        </w:tc>
      </w:tr>
      <w:tr>
        <w:trPr>
          <w:trHeight w:val="176"/>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9C.</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152">
              <w:r>
                <w:rPr>
                  <w:rFonts w:ascii="Arial" w:cs="Arial" w:eastAsia="Arial" w:hAnsi="Arial"/>
                  <w:sz w:val="18"/>
                  <w:szCs w:val="18"/>
                  <w:b w:val="1"/>
                  <w:bCs w:val="1"/>
                  <w:color w:val="0000EE"/>
                </w:rPr>
                <w:t>Disclosure Regarding Foreign Jurisdictions that Prevent Inspections.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6"/>
              </w:rPr>
              <w:t>149</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40" w:type="dxa"/>
            <w:vAlign w:val="bottom"/>
            <w:gridSpan w:val="15"/>
          </w:tcPr>
          <w:p>
            <w:pPr>
              <w:jc w:val="center"/>
              <w:ind w:right="4520"/>
              <w:spacing w:after="0" w:line="176" w:lineRule="exact"/>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PART III</w:t>
              </w:r>
            </w:hyperlink>
          </w:p>
        </w:tc>
        <w:tc>
          <w:tcPr>
            <w:tcW w:w="1120" w:type="dxa"/>
            <w:vAlign w:val="bottom"/>
          </w:tcPr>
          <w:p>
            <w:pPr>
              <w:spacing w:after="0"/>
              <w:rPr>
                <w:sz w:val="15"/>
                <w:szCs w:val="15"/>
                <w:color w:val="auto"/>
              </w:rPr>
            </w:pP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10.</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Directors, Executive Officers and Corporate Governance.</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6"/>
              </w:rPr>
              <w:t>150</w:t>
            </w: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11.</w:t>
            </w:r>
          </w:p>
        </w:tc>
        <w:tc>
          <w:tcPr>
            <w:tcW w:w="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b w:val="1"/>
                <w:bCs w:val="1"/>
                <w:color w:val="0000EE"/>
                <w:w w:val="88"/>
              </w:rPr>
            </w:pPr>
            <w:hyperlink w:anchor="page153">
              <w:r>
                <w:rPr>
                  <w:rFonts w:ascii="Arial" w:cs="Arial" w:eastAsia="Arial" w:hAnsi="Arial"/>
                  <w:sz w:val="18"/>
                  <w:szCs w:val="18"/>
                  <w:b w:val="1"/>
                  <w:bCs w:val="1"/>
                  <w:color w:val="0000EE"/>
                  <w:w w:val="88"/>
                </w:rPr>
                <w:t>Executive Compensation.</w:t>
              </w:r>
            </w:hyperlink>
          </w:p>
        </w:tc>
        <w:tc>
          <w:tcPr>
            <w:tcW w:w="7360" w:type="dxa"/>
            <w:vAlign w:val="bottom"/>
            <w:tcBorders>
              <w:bottom w:val="single" w:sz="8" w:color="CCEEFF"/>
            </w:tcBorders>
            <w:gridSpan w:val="2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6"/>
              </w:rPr>
              <w:t>150</w:t>
            </w: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12.</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153">
              <w:r>
                <w:rPr>
                  <w:rFonts w:ascii="Arial" w:cs="Arial" w:eastAsia="Arial" w:hAnsi="Arial"/>
                  <w:sz w:val="18"/>
                  <w:szCs w:val="18"/>
                  <w:b w:val="1"/>
                  <w:bCs w:val="1"/>
                  <w:color w:val="0000EE"/>
                </w:rPr>
                <w:t>Security Ownership of Certain Beneficial Owners and Management and Related Stockholder Matters.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6"/>
              </w:rPr>
              <w:t>150</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7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13.</w:t>
            </w:r>
          </w:p>
        </w:tc>
        <w:tc>
          <w:tcPr>
            <w:tcW w:w="6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b w:val="1"/>
                <w:bCs w:val="1"/>
                <w:color w:val="0000EE"/>
                <w:w w:val="89"/>
              </w:rPr>
            </w:pPr>
            <w:hyperlink w:anchor="page153">
              <w:r>
                <w:rPr>
                  <w:rFonts w:ascii="Arial" w:cs="Arial" w:eastAsia="Arial" w:hAnsi="Arial"/>
                  <w:sz w:val="18"/>
                  <w:szCs w:val="18"/>
                  <w:b w:val="1"/>
                  <w:bCs w:val="1"/>
                  <w:color w:val="0000EE"/>
                  <w:w w:val="89"/>
                </w:rPr>
                <w:t>Certain Relationships and Related Transactions, and Director Independence.</w:t>
              </w:r>
            </w:hyperlink>
          </w:p>
        </w:tc>
        <w:tc>
          <w:tcPr>
            <w:tcW w:w="340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6"/>
              </w:rPr>
              <w:t>150</w:t>
            </w: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14.</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154">
              <w:r>
                <w:rPr>
                  <w:rFonts w:ascii="Arial" w:cs="Arial" w:eastAsia="Arial" w:hAnsi="Arial"/>
                  <w:sz w:val="18"/>
                  <w:szCs w:val="18"/>
                  <w:b w:val="1"/>
                  <w:bCs w:val="1"/>
                  <w:color w:val="0000EE"/>
                </w:rPr>
                <w:t>Principal Accountant Fees and Services.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6"/>
              </w:rPr>
              <w:t>151</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40" w:type="dxa"/>
            <w:vAlign w:val="bottom"/>
            <w:gridSpan w:val="15"/>
          </w:tcPr>
          <w:p>
            <w:pPr>
              <w:jc w:val="center"/>
              <w:ind w:right="4520"/>
              <w:spacing w:after="0" w:line="176" w:lineRule="exact"/>
              <w:rPr>
                <w:rFonts w:ascii="Arial" w:cs="Arial" w:eastAsia="Arial" w:hAnsi="Arial"/>
                <w:sz w:val="18"/>
                <w:szCs w:val="18"/>
                <w:b w:val="1"/>
                <w:bCs w:val="1"/>
                <w:color w:val="0000EE"/>
              </w:rPr>
            </w:pPr>
            <w:hyperlink w:anchor="page154">
              <w:r>
                <w:rPr>
                  <w:rFonts w:ascii="Arial" w:cs="Arial" w:eastAsia="Arial" w:hAnsi="Arial"/>
                  <w:sz w:val="18"/>
                  <w:szCs w:val="18"/>
                  <w:b w:val="1"/>
                  <w:bCs w:val="1"/>
                  <w:color w:val="0000EE"/>
                </w:rPr>
                <w:t>PART IV</w:t>
              </w:r>
            </w:hyperlink>
          </w:p>
        </w:tc>
        <w:tc>
          <w:tcPr>
            <w:tcW w:w="1120" w:type="dxa"/>
            <w:vAlign w:val="bottom"/>
          </w:tcPr>
          <w:p>
            <w:pPr>
              <w:spacing w:after="0"/>
              <w:rPr>
                <w:sz w:val="15"/>
                <w:szCs w:val="15"/>
                <w:color w:val="auto"/>
              </w:rPr>
            </w:pPr>
          </w:p>
        </w:tc>
      </w:tr>
      <w:tr>
        <w:trPr>
          <w:trHeight w:val="21"/>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740" w:type="dxa"/>
            <w:vAlign w:val="bottom"/>
          </w:tcPr>
          <w:p>
            <w:pPr>
              <w:spacing w:after="0" w:line="176" w:lineRule="exact"/>
              <w:rPr>
                <w:sz w:val="20"/>
                <w:szCs w:val="20"/>
                <w:color w:val="auto"/>
              </w:rPr>
            </w:pPr>
            <w:r>
              <w:rPr>
                <w:rFonts w:ascii="Arial" w:cs="Arial" w:eastAsia="Arial" w:hAnsi="Arial"/>
                <w:sz w:val="18"/>
                <w:szCs w:val="18"/>
                <w:b w:val="1"/>
                <w:bCs w:val="1"/>
                <w:color w:val="auto"/>
              </w:rPr>
              <w:t>Item 15.</w:t>
            </w:r>
          </w:p>
        </w:tc>
        <w:tc>
          <w:tcPr>
            <w:tcW w:w="9380" w:type="dxa"/>
            <w:vAlign w:val="bottom"/>
            <w:gridSpan w:val="30"/>
          </w:tcPr>
          <w:p>
            <w:pPr>
              <w:ind w:left="60"/>
              <w:spacing w:after="0" w:line="176" w:lineRule="exact"/>
              <w:rPr>
                <w:rFonts w:ascii="Arial" w:cs="Arial" w:eastAsia="Arial" w:hAnsi="Arial"/>
                <w:sz w:val="18"/>
                <w:szCs w:val="18"/>
                <w:b w:val="1"/>
                <w:bCs w:val="1"/>
                <w:color w:val="0000EE"/>
              </w:rPr>
            </w:pPr>
            <w:hyperlink w:anchor="page154">
              <w:r>
                <w:rPr>
                  <w:rFonts w:ascii="Arial" w:cs="Arial" w:eastAsia="Arial" w:hAnsi="Arial"/>
                  <w:sz w:val="18"/>
                  <w:szCs w:val="18"/>
                  <w:b w:val="1"/>
                  <w:bCs w:val="1"/>
                  <w:color w:val="0000EE"/>
                </w:rPr>
                <w:t>Exhibit and Financial Statement Schedules.</w:t>
              </w:r>
            </w:hyperlink>
          </w:p>
        </w:tc>
        <w:tc>
          <w:tcPr>
            <w:tcW w:w="112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6"/>
              </w:rPr>
              <w:t>151</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Item 16.</w:t>
            </w:r>
          </w:p>
        </w:tc>
        <w:tc>
          <w:tcPr>
            <w:tcW w:w="9380" w:type="dxa"/>
            <w:vAlign w:val="bottom"/>
            <w:gridSpan w:val="30"/>
            <w:shd w:val="clear" w:color="auto" w:fill="CCEEFF"/>
          </w:tcPr>
          <w:p>
            <w:pPr>
              <w:ind w:left="60"/>
              <w:spacing w:after="0" w:line="176" w:lineRule="exact"/>
              <w:rPr>
                <w:rFonts w:ascii="Arial" w:cs="Arial" w:eastAsia="Arial" w:hAnsi="Arial"/>
                <w:sz w:val="18"/>
                <w:szCs w:val="18"/>
                <w:b w:val="1"/>
                <w:bCs w:val="1"/>
                <w:color w:val="0000EE"/>
              </w:rPr>
            </w:pPr>
            <w:hyperlink w:anchor="page158">
              <w:r>
                <w:rPr>
                  <w:rFonts w:ascii="Arial" w:cs="Arial" w:eastAsia="Arial" w:hAnsi="Arial"/>
                  <w:sz w:val="18"/>
                  <w:szCs w:val="18"/>
                  <w:b w:val="1"/>
                  <w:bCs w:val="1"/>
                  <w:color w:val="0000EE"/>
                </w:rPr>
                <w:t>Form 10–K Summary.</w:t>
              </w:r>
            </w:hyperlink>
          </w:p>
        </w:tc>
        <w:tc>
          <w:tcPr>
            <w:tcW w:w="1120" w:type="dxa"/>
            <w:vAlign w:val="bottom"/>
            <w:shd w:val="clear" w:color="auto" w:fill="CCEEFF"/>
          </w:tcPr>
          <w:p>
            <w:pPr>
              <w:jc w:val="center"/>
              <w:ind w:left="250"/>
              <w:spacing w:after="0" w:line="176" w:lineRule="exact"/>
              <w:rPr>
                <w:sz w:val="20"/>
                <w:szCs w:val="20"/>
                <w:color w:val="auto"/>
              </w:rPr>
            </w:pPr>
            <w:r>
              <w:rPr>
                <w:rFonts w:ascii="Arial" w:cs="Arial" w:eastAsia="Arial" w:hAnsi="Arial"/>
                <w:sz w:val="18"/>
                <w:szCs w:val="18"/>
                <w:color w:val="auto"/>
                <w:w w:val="86"/>
              </w:rPr>
              <w:t>155</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JASPER THERAPEUTICS, INC.</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used in this Annual Report on Form 10-K, unless the context requires otherwise, references to the “Company”, “Jasper”, “we”, “us”, “our”, and similar terms refer to Jasper Therapeutics, Inc., a Delaware corporation formerly known as Amplitude Healthcare Acquisition Corporation (“AMHC”), and its consolidated subsidiary. References to “Old Jasper” refer to the private Delaware corporation that is now our wholly-owned subsidiary and named Jasper Tx Corp. (formerly known as Jasper Therapeutics, Inc.).</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September 24, 2021, we consummated the previously announced Business Combination (pursuant to the Business Combination Agreement, dated May 5, 2021, by and among AMHC, Ample Merger Sub, Inc. (“Merger Sub”) and Old Jasper). Pursuant to the terms of the Business Combination Agreement, a business combination (herein referred to as the “Business Combination” or “Reverse Recapitalization” for accounting purposes) between AMHC and Old Jasper was effected through the merger of Merger Sub with and into Old Jasper with Old Jasper surviving as AMHC’s wholly-owned subsidiary. In connection with the Business Combination, AMHC changed its name from Amplitude Healthcare Acquisition Corporation to Jasper Therapeutics, Inc.</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Unless otherwise noted or the context requires otherwise, references to our “common stock” refer to our voting common stock, par value $0.0001 per share.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Certain statements contained in this Annual Report on Form 10-K may constitute “forward-looking statements” for purposes of federal securities laws. Such statements can be identified by the fact that they do not relate strictly to historical or current facts. In addition, any statements that refer to projections, forecasts or other characterizations of future events or circumstances, including any underlying assumptions, are forward-looking statements. The words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contemplate,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might,</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possible,</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project,</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and similar expressions (including the negative of any of the foregoing) may identify forward-looking statements, but the absence of these words does not mean that a statement is not forward-looking.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Annual Report on Form 10-K may include, for example, but are not limited to, statements about:</w:t>
      </w:r>
    </w:p>
    <w:p>
      <w:pPr>
        <w:spacing w:after="0" w:line="225" w:lineRule="exact"/>
        <w:rPr>
          <w:sz w:val="20"/>
          <w:szCs w:val="20"/>
          <w:color w:val="auto"/>
        </w:rPr>
      </w:pPr>
    </w:p>
    <w:p>
      <w:pPr>
        <w:ind w:left="660" w:right="1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or our management team’s expectations, hopes, beliefs, intentions or strategies regarding the future, including those relating to the impact of the Business Combination on our business, financial condition, liquidity and results of operations;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research, discover and develop additional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projected financial information, anticipated growth rate and market opportunity;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the listing of our public securities on Nasdaq;</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officers, key employees or directors;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 w:name="page5"/>
    <w:bookmarkEnd w:id="4"/>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and manage growth profitably;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market acceptance and success of our business model, developments and projections relating to our competitors and industry;</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and not infringe on the rights of others;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in-license or acquire additional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license agreements and manufacturing arrangements;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continuing COVID-19 pandemic on the foregoing.</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Annual Report on Form 10-K.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continuing COVID-19 pandemic, and there may be additional risks that we consider immaterial or which are unknown. It is not possible to predict or identify all such risks. Readers are cautioned not to place undue reliance on forward-looking statements because of the risks and uncertainties related to them and to the risk factors. We do not undertake any obligation to update or revise any forward-looking statements, whether as a result of new information, future events or otherwise, except as may be required under applicable securities laws.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40" w:firstLine="648"/>
        <w:spacing w:after="0" w:line="311" w:lineRule="auto"/>
        <w:rPr>
          <w:sz w:val="20"/>
          <w:szCs w:val="20"/>
          <w:color w:val="auto"/>
        </w:rPr>
      </w:pPr>
      <w:r>
        <w:rPr>
          <w:rFonts w:ascii="Arial" w:cs="Arial" w:eastAsia="Arial" w:hAnsi="Arial"/>
          <w:sz w:val="16"/>
          <w:szCs w:val="16"/>
          <w:color w:val="auto"/>
        </w:rPr>
        <w:t>We are a clinical-stage biotechnology company dedicated to enabling cures through hematopoietic stem cell therapy. We are focused on the development and commercialization of safer and more effective conditioning agents and stem cell engineering to allow for expanded use of stem cell transplantation and ex vivo gene therapy, a technique in which genetic manipulation of cells is performed outside of the body prior to transplantation.</w:t>
      </w:r>
    </w:p>
    <w:p>
      <w:pPr>
        <w:spacing w:after="0" w:line="14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drug development pipeline includes multiple product candidates designed to improve hematopoietic stem cell therapy. Our lead product candidate, JSP191, is in clinical development as a novel conditioning antibody that clears hematopoietic stem cells from bone marrow in patients prior to undergoing allogeneic stem cell therapy or stem cell gene therapy. We are also developing engineered hematopoietic stem cells (“eHSC”) product candidates reprogrammed using mRNA delivery and gene editing that have a competitive advantage over endogenous hematopoietic stem cells (“HSCs”) because they permit higher levels of engraftment without the need for toxic conditioning of the patient and with potentially lower risk of other serious complications seen with current stem cell transplants. We also plan to continue to expand our pipeline to include other novel stem cell therapies based on immune modulation, graft engineering or cell and gene therapies. Our goal is to expand the use of curative stem cell transplant and gene therapies for all patients, including children and the elderly.</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Stem cell transplantation is among the most widely practiced forms of cellular therapy and has the potential to cure a wide variety of diseases, including cancers, genetic disorders and autoimmune diseases. A stem cell transplant procedure involves three main steps: (i) stem cells from the patient’s or donor’s bone marrow are collected; (ii) the patient’s bone marrow is cleared of any remaining stem cells in order to make space to receive new transplanted stem cells, which is known as conditioning; and (iii) the new stem cells are transplanted into the patient via infusion where they fasten to, or engraft in, the bone marrow and grow into the blood and immune cells that form the basis of reset and rebuilt blood and immune systems. Transplants are either allogeneic or autologous, depending on the source of the new stem cells for the transplant. In an allogeneic transplant, patients receive cells from a stem cell donor. In an autologous transplant, the patient’s own stem cells are used. Autologous transplants also include stem cell gene therapies, where cells are collected from the patient, edited to either enable a functioning gene or correct a defective gene, and then transplanted into the patient via infusion. Our programs span both allogeneic and gene therapy-based autologous transplants, with initial sponsored programs in JSP191 based on an allogeneic approach.</w:t>
      </w:r>
    </w:p>
    <w:p>
      <w:pPr>
        <w:spacing w:after="0" w:line="166"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Currently, patients must receive highly toxic and potentially life-threatening conditioning agents to prepare their bone marrow for transplantation with either donor stem cells or their own gene-edited stem cells. Younger, fitter patients capable of surviving these toxic side effects are typically given myeloablative, or high-intensity, conditioning whereas older or less fit patients are typically given reduced intensity, but still toxic, conditioning which leads to less effective transplants. These toxicities include a range of acute and chronic effects to the gastrointestinal tract, kidneys, liver, lung, endocrine, and neurologic tissues. Depending upon the conditioning regimen, fitness of the patient, and compatibility between the donor and recipient, the risk of transplant-related mortality ranges from 10% to more than 50% in older patients. Less toxic ways to condition patients have been developed to enable transplant for older patients or those with major comorbidities, but these regimens risk less potent disease elimination and higher rates of disease relapse. Even though stem cell therapy can be one of the most powerful forms of disease cure, these limitations of non-targeted conditioning regimens have seen little innovation over the past decade.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542290</wp:posOffset>
            </wp:positionH>
            <wp:positionV relativeFrom="page">
              <wp:posOffset>568960</wp:posOffset>
            </wp:positionV>
            <wp:extent cx="6472555" cy="3634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47255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lead product candidate, JSP191, is a monoclonal antibody designed to block a specific survival signal on stem cells and is in development as a highly targeted conditioning agent prior to stem cell therapy. We are developing JSP191 for severe combined immunodeficiency (“SCID”) for which we are currently conducting an open label Phase 1/2 clinical trial in two cohorts of SCID patients: patients with a history of a prior allogeneic transplant for SCID but with poor graft outcomes and newly diagnosed SCID patients. The primary endpoint in Phase 1 is to evaluate the safety and tolerability of JSP191. The two primary efficacy endpoints in Phase 2 are the proportion of subjects achieving adequate donor HSC engraftment and the proportion of subjects achieving naïve T cell production greater than or equal to 85 cells/uL, a level expected to provide immune reconstitution, during weeks 36 to 104 post-transplant. Based on preliminary results from our ongoing Phase 1/2 clinical trial, we believe JSP191 has demonstrated the ability as a single agent to enable engraftment of donor HSCs as determined by donor chimerism, or the percentage of bone marrow cells in the patient that are of donor origin after transplant. Six out of the first nine non-IL2RG patients with prior allogeneic transplant achieved donor engraftment, naïve donor T cell production and demonstrated clinical improvement. No JSP191 treatment-related serious adverse events (“SAEs”) have been reported to date and pharmacokinetics have been consistent with earlier studies in healthy volunteers. We expect to complete enrollment in this Phase 1/2 clinical trial by mid-2023.</w:t>
      </w:r>
    </w:p>
    <w:p>
      <w:pPr>
        <w:spacing w:after="0" w:line="172"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FDA has granted rare pediatric disease designation to JSP191 as a conditioning treatment for patients with SCID. In addition, the FDA granted orphan drug designation to JSP191 for conditioning treatment prior to hematopoietic stem cell transplantation.</w:t>
      </w:r>
    </w:p>
    <w:p>
      <w:pPr>
        <w:spacing w:after="0" w:line="14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We also are evaluating JSP191 in an open label Phase 1 clinical trial in patients with myelodysplastic syndrome (“MDS”) or acute myeloid leukemia (“AML”) that were transplant eligible but still had trace evidence of leukemic cells that can remain in a patient after chemotherapy, or minimal residual disease (“MRD”), as detected by cytogenetics, flow cytometry or next-generation sequencing. The primary endpoints are to evaluate the safety, tolerability and pharmacokinetic parameters of JSP191. In the initial dose finding Phase 1a portion of this clinical trial, 0.6 mg/kg JSP191-based conditioning was well tolerated in all six MDS/AML patients as of December 31, 2021. Furthermore, it led to successful engraftment as demonstrated by sustained blood neutrophil count of &gt;500 x 10^6 / L (Wolff 2002) in all six patients. Additionally, five of the six patients demonstrated elimination of all diseased cells at day 90 (MRD) by multiple methods of detection, a secondary endpoint of the clinical study. The next portion of the clinical trial, a Phase 1b dose expansion cohort has completed enrollment. Initial results from the first seventeen patients show that 0.6 mg/kg JSP191-based conditioning was well tolerated with all seventeen patients achieving successful engraftment. These initial results also show that twelve of fifteen Phase 1a and 1b patients with MRD at screening achieved clearance of MRD. No JSP191-related serious adverse events have been reported. As of reporting of these initial results, four patients have come off study, two due to relapse or disease progression, one due to late onset Grade 3 acute Graft vs Host Disease (“GvHD”) and one due to secondary graft failure. We expect to present additional data from this study in the first half of 2022.</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120" w:firstLine="648"/>
        <w:spacing w:after="0" w:line="272" w:lineRule="auto"/>
        <w:rPr>
          <w:sz w:val="20"/>
          <w:szCs w:val="20"/>
          <w:color w:val="auto"/>
        </w:rPr>
      </w:pPr>
      <w:r>
        <w:rPr>
          <w:rFonts w:ascii="Arial" w:cs="Arial" w:eastAsia="Arial" w:hAnsi="Arial"/>
          <w:sz w:val="17"/>
          <w:szCs w:val="17"/>
          <w:color w:val="auto"/>
        </w:rPr>
        <w:t>We have entered into a clinical collaboration with Stanford University to study JSP191-based conditioning in patients with Fanconi anemia. This study is currently open for patient recruitment. We are also collaborating with the National Institutes of Health to conduct clinical trials of JSP191-based conditioning in patients with sickle cell disease (“SCD”), with chronic granulomatous disease and with GATA-2 mutated MDS. We believe that JSP191 may also be useful for conditioning in allogenic transplant for other diseases beyond which we are currently studying, including autoimmune diseases. We also believe that targeted JSP191-based conditioning may improve the efficacy and safety of gene therapies. We are also collaborating with corporate partners, including Graphite Bio, Inc. (“Graphite Bio”), Aruvant Sciences GmbH (“Aruvant Sciences”) and AVROBIO, Inc. (“Avrobio”) to study JSP191 as targeted, non-toxic conditioning for investigational gene therapies.</w:t>
      </w:r>
    </w:p>
    <w:p>
      <w:pPr>
        <w:spacing w:after="0" w:line="177"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We plan to evaluate JSP191 as a therapeutic for certain patients with proliferative disorders of the hematopoietic stem cell. MDS is a heterogeneous disorder of the bone marrow which typically occurs in an older population and can progress to AML. The Revised International Prognostic Scoring System (“IPSS-R”) is a clinical assessment tool used to evaluate risk and prognosis of newly diagnosed patients. Patients with IPSS-R scores of low or very low are not typically referred to stem cell transplant due to the risk of transplant-related toxicities from current conditioning regiments, infection and GvHD outweighing the patient’s expected survival with drug therapies. These patients typically suffer from anemia, thrombocytopenia or neutropenia and are given drug therapies such as an erythropoiesis stimulating agent (“ESA”) to stimulate production of new cells to correct their blood deficiency. However, these agents do not target the diseased hematopoietic stem cell and patients who become refractory to ESA are dependent on routine blood transfusions, which is associated with poor survival. ESA-refractory low-risk MDS patients have few treatment options and are a clinical unmet need.</w:t>
      </w:r>
    </w:p>
    <w:p>
      <w:pPr>
        <w:spacing w:after="0" w:line="19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JSP191 and other anti-CD117 monoclonal antibodies have been shown to deplete normal and diseased MDS human hematopoietic stem cells in clinical and pre-clinical studies. In studies of non-human primates and healthy volunteers, administration of a single dose of JSP191 resulted in depletion of healthy hematopoietic stem cells followed by recovery in approximately six weeks. Additional recent clinical data in MDS patients undergoing stem cell transplant showed depletion of hematopoietic stem cells after administration of JSP191 alone. By depleting diseased and healthy hematopoietic stem cells, we believe that JSP191 may allow for preferential recovery of healthy hematopoietic stem cells and restoration of normal hematopoiesis. We intend to study JSP191 monotherapy in low-risk MDS patients with documented cytopenia who are refractory to ESA therapy.</w:t>
      </w:r>
    </w:p>
    <w:p>
      <w:pPr>
        <w:spacing w:after="0" w:line="16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eHSC platform is designed to overcome key limitations of stem cell transplant and stem cell gene therapy. By using mRNA delivery and/or gene editing, we believe we can reprogram donor or gene corrected stem cells to have a transient proliferative and survival advantage over the patient’s existing cells. We believe initial preclinical experiments by Jasper demonstrate multiple different mRNAs can be used to improve engraftment of modified stem cells. One example are eHSCs that express certain variants of CXCR4 that may lead to improved stem cell homing and engraftment in the bone marrow. Another example includes expression of a modified stem cell factor receptor that can lead to cell line proliferation independent of stem cell factor (“SCF”) concentration, enabling our eHSCs to outcompete unmodified HSCs through better survival and engraftment. Also, since JSP191 only blocks signaling through the stem cell factor receptor, these eHSCs are not affected by JSP191 when used in combination. Other initial experiments have shown that mRNA can be used to express these receptor variants on the cell surface. We have also identified other potential receptor modifications that prevent the binding of JSP191 but retain the ability to bind SCF, therefore allowing the eHSCs to proliferate normally even in the presence of JSP191.</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intend to become a fully integrated discovery, development and commercial company in the field of hematopoietic stem cell therapy. We are developing our product candidates to be used individually or, in some cases, in combination with one another. As a result, we believe our pipeline could be tailored to the patient-specific disease so that a patient may receive more than one of our therapies as part of his or her individual allogeneic or gene-edited stem cell therapy. Our goal is to advance our product candidates through regulatory approval and bring them to the commercial market based on the data from our clinical trials and communications with regulatory agencies and payor communities. We expect to continue to advance our pipeline and innovate through our research platform.</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an exclusive license agreement with Amgen Inc. (“Amgen”) for the development and commercialization of the JSP191 monoclonal antibody in all indications and territories worldwide. We also have an exclusive license agreement with Stanford for the right to use JSP191 in the clearance of stem cells prior to the transplantation of HSCs. We also entirely own the intellectual property for our eHSC platform, which has been internally developed.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are developing a portfolio of novel product candidates that we believe have the potential to meaningfully improve stem cell therapy for patients with blood cancers, genetic diseases and autoimmune diseases. Additionally, we believe our product candidates have the potential to allow more patients with debilitating or life-threatening diseases to access a one-time, transformative blood and immune reset through transplant with better outcomes and reduced risk of toxicity and mortality versus current technologies. We are developing our product candidates so that they can be used individually or in combination with one another, such that patients may receive more than one of our therapies as part of their individual transplant journey. In addition to our first set of clinical product candidates, we are in the process of identifying several other potential candidates from our engineered hematopoietic stem cell platform.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ind w:right="180" w:firstLine="648"/>
        <w:spacing w:after="0" w:line="277" w:lineRule="auto"/>
        <w:rPr>
          <w:sz w:val="20"/>
          <w:szCs w:val="20"/>
          <w:color w:val="auto"/>
        </w:rPr>
      </w:pPr>
      <w:r>
        <w:rPr>
          <w:rFonts w:ascii="Arial" w:cs="Arial" w:eastAsia="Arial" w:hAnsi="Arial"/>
          <w:sz w:val="18"/>
          <w:szCs w:val="18"/>
          <w:color w:val="auto"/>
        </w:rPr>
        <w:t>The following chart summarizes the status and development plan for the product candidates in our pipeline. We own worldwide rights to each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117475</wp:posOffset>
            </wp:positionV>
            <wp:extent cx="6471920" cy="384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192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JSP191</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JSP191 is a unique, humanized, monoclonal antibody that targets the underlying biology of hematopoietic stem cells to potentially improve the efficacy and safety of hematopoietic stem cell transplantation. JSP191 is in clinical development as a conditioning agent to clear hematopoietic stem cells from the bone marrow prior to transplant. JSP191 binds to human CD117, a receptor for SCF, which is expressed on the surface of hematopoietic stem and progenitor cells. The interaction of SCF and CD117 is required for stem cells to survive. By blocking SCF from binding to CD117 and disrupting critical survival signals, JSP191 leads to the depletion of stem cells and creates an open space in the bone marrow for donor or gene-edited stem cells to engraft. JSP191 is in clinical development both as a single conditioning agent and in combination with existing conditioning agents depending on the need in a particular indication.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Hematopoietic Stem Cells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eHSCs are designed to overcome key limitations of allogeneic donor and autologous gene-edited stem cell transplants. By delivering mRNA or modifying DNA, leading to expression of a modified receptor or protein, we can reprogram donor or gene-edited stem cells to have a transient proliferative and survival advantage over the patient’s existing cells to permit higher levels of engraftment without the need for toxic conditioning of the patient. eHSCs have the potential to eliminate the need for donor T-cells, B-cells and NK-cells which are needed in unmodified donor HSC grafts to permit robust engraftment but can lead to GvHD, where the donor cells attack the patient’s tissues, resulting in the need for long-term immunosuppression therapies.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goal is to bring curative allogeneic and autologous HSCT and gene therapy to more people by developing compounds that can make it safer and more effective. As part of our strategy, we aim to:</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Build a leading HSCT biotechnology company to enable cures via immune modulation, graft engineering and cell and gene therapies. </w:t>
      </w:r>
      <w:r>
        <w:rPr>
          <w:rFonts w:ascii="Arial" w:cs="Arial" w:eastAsia="Arial" w:hAnsi="Arial"/>
          <w:sz w:val="18"/>
          <w:szCs w:val="18"/>
          <w:color w:val="auto"/>
        </w:rPr>
        <w:t>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bringing together a team of biotech veterans, leading academic institutions and a strong syndicate of healthcare-focused investors to achieve our vision of developing an improved end-to-end stem cell transplantation process and associated therapies, starting with safer and more effective conditioning agents and engineered stem cell therapies.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ind w:right="1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Continue to develop JSP191 as a novel, targeted pre-transplant conditioning agent enabling more efficacious and safer HSCT. </w:t>
      </w:r>
      <w:r>
        <w:rPr>
          <w:rFonts w:ascii="Arial" w:cs="Arial" w:eastAsia="Arial" w:hAnsi="Arial"/>
          <w:sz w:val="17"/>
          <w:szCs w:val="17"/>
          <w:color w:val="auto"/>
        </w:rPr>
        <w:t>Starting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lead product candidate, JSP191, we are advancing the field of HSCT to address effective and safe pre-transplant conditioning in hematologic monogenic and malignant disorders as well as in autoimmune disease and gene therapy. Our initial focus is on severe combined immunodeficiency, acute myeloid leukemia, myelodysplastic syndrome and autologous gene-edited stem cell transplants.</w:t>
      </w:r>
    </w:p>
    <w:p>
      <w:pPr>
        <w:spacing w:after="0" w:line="17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Advance our eHSC platform to overcome the limitations of current allogeneic and autologous gene-edited stem cell transplants. </w:t>
      </w:r>
      <w:r>
        <w:rPr>
          <w:rFonts w:ascii="Arial" w:cs="Arial" w:eastAsia="Arial" w:hAnsi="Arial"/>
          <w:sz w:val="17"/>
          <w:szCs w:val="17"/>
          <w:color w:val="auto"/>
        </w:rPr>
        <w:t>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developing enhanced stem cell therapies with transient proliferative advantages, which we believe may translate to superior efficacy and reduced GvHD compared to current standard of care therapies in allogenic and autologous gene therapy transplants.</w:t>
      </w:r>
    </w:p>
    <w:p>
      <w:pPr>
        <w:spacing w:after="0" w:line="16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b w:val="1"/>
          <w:bCs w:val="1"/>
          <w:i w:val="1"/>
          <w:iCs w:val="1"/>
          <w:color w:val="auto"/>
        </w:rPr>
        <w:t xml:space="preserve">Commercialize our product candidates to expand the use of effective and safe stem cell therapies for patients and physicians in our target markets. </w:t>
      </w:r>
      <w:r>
        <w:rPr>
          <w:rFonts w:ascii="Arial" w:cs="Arial" w:eastAsia="Arial" w:hAnsi="Arial"/>
          <w:sz w:val="17"/>
          <w:szCs w:val="17"/>
          <w:color w:val="auto"/>
        </w:rPr>
        <w:t>If approved, we plan to bring our product candidates to the United States, European and Japanese markets, focusing on the top 50% of accredited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transplant centers and hospital-based prescribers who administer approximately 80% of stem cell therapies. Our strong network and relationships with key stakeholders at these centers will enable a targeted and collaborative commercial approach.</w:t>
      </w:r>
    </w:p>
    <w:p>
      <w:pPr>
        <w:spacing w:after="0" w:line="17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Form and strengthen strategic collaborations with leading industry and academic organizations to further develop our pipeline, unlock the commercial potential of our portfolio and provide enabling technologies for gene therapy collaborators. </w:t>
      </w:r>
      <w:r>
        <w:rPr>
          <w:rFonts w:ascii="Arial" w:cs="Arial" w:eastAsia="Arial" w:hAnsi="Arial"/>
          <w:sz w:val="18"/>
          <w:szCs w:val="18"/>
          <w:color w:val="auto"/>
        </w:rPr>
        <w:t>We intend to continue collaborations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partners and enter new strategic partnerships to develop additional candidates, generate evidence, and commercialize new products in the field of stem cell therapy.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Team</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Old Jasper was founded by Dr. Judith Shizuru, Professor of Medicine and Pediatrics at Stanford University, and Dr. Susan Prohaska, a Stanford-trained immunologist, stem cell biologist and drug developer, with the goal of bringing curative hematopoietic stem cell transplantation to more people by making it safer and more effective. We unite technologies from Stanford University and Amgen via expertise in stem cell transplantation, stem cell biology and drug development. Building on bone marrow niche-clearing technology from Stanford and with our lead compound JSP191, Dr. Shizuru initiated a clinical program funded by the California Institute for Regenerative Medicine (“CIRM”) to safely condition patients with SCID prior to hematopoietic cell transplantation.</w:t>
      </w:r>
    </w:p>
    <w:p>
      <w:pPr>
        <w:spacing w:after="0" w:line="19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assembled a management team of experienced biopharma industry veterans. With this leadership, we believe we are well positioned to achieve our vision of revolutionizing hematopoietic cell transplantation with safer conditioning regimens. Ron Martell, our Chief Executive Officer, is an experienced biopharma veteran who has extensive experience in cellular therapies and oncology drug development. Prior to joining Jasper, Mr. Martell served as the President and CEO of MorphImmune, Inc., a private platform company advancing a highly specific targeting technology that uses a ligand-linked payload to reprogram the immune system. Previously, he was President and CEO of Nuvelution Pharma. He was also Co- Founder and Executive Chairman of Indapta, Orca Bio and Co-Founder and CEO of Achieve Life Sciences, where he led the merger of the company with Oncogenex. Mr. Martell has served as the CEO of three public biopharmaceutical companies, including Sevion and NeurogesX, and has overseen billions of dollars in industry transactions. Earlier in his career, Martell served as Senior Vice President of Commercial Operations at ImClone Systems, where he was instrumental in deals with Bristol-Myers Squibb and Merck KGaA and built ImClone Systems’ worldwide operations to market and commercialize Erbitux®. He also served in various leadership positions with Genentech where, as Group Manager, Oncology, he was responsible for building the company’s oncology franchise, including the launch of Herceptin® and Rituxan®.</w:t>
      </w:r>
    </w:p>
    <w:p>
      <w:pPr>
        <w:spacing w:after="0" w:line="18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Members of our management team have held leadership positions at companies that have successfully discovered, developed, and commercialized therapies for various cancers and devastating rare diseases. These companies include Roche, Johnson &amp; Johnson, Genentech, Bristol-Myers Squibb, Imclone, Incyte, Allergan, Sanofi, Amgen, Portola, Alexion and many others.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Background on Hematopoietic Stem Cell Therapy</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HSCT is among the most widely practiced forms of cellular therapy and has the potential to cure a wide variety of diseases. Currently, its use is limited to patients with severe disease burden due to the toxicities of current non-targeted conditioning regimens and the limitations of the transplant grafts themselves.</w:t>
      </w:r>
    </w:p>
    <w:p>
      <w:pPr>
        <w:spacing w:after="0" w:line="18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Stem cell transplants first require identification of a suitable donor and collection of the donor’s stem cells, typically from blood. Then chemotherapy or radiation-based conditioning is used to clear the patient’s bone marrow of existing diseased stem cells in order to make space to receive new transplanted stem cells. Finally, the donor or gene corrected stem cells are infused into the patient where they engraft into the bone marrow and produce new blood and immune cells that form the basis of a reset and rebuilt blood and immune system. All transplants are categorized as either autologous or allogeneic, depending on the source of the new stem cells for the transplant.</w:t>
      </w:r>
    </w:p>
    <w:p>
      <w:pPr>
        <w:spacing w:after="0" w:line="176"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In an autologous transplant, which is used for conditions such as multiple myeloma, non-Hodgkin’s lymphoma and certain autoimmune diseases, the patient’s own stem cells are used. Autologous transplants also include stem cell gene therapies, in which cells are collected from the patient, edited to either insert a functioning gene into, or correct a defective gene within, such cells and then such cells are transplanted into the patient via infusion.</w:t>
      </w:r>
    </w:p>
    <w:p>
      <w:pPr>
        <w:spacing w:after="0" w:line="149"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In an allogeneic transplant, used for conditions such as acute leukemias, myelodysplastic syndromes, genetic diseases and certain autoimmune diseases, patients receive cells from a stem cell donor. The preferred donor is a biological relative who has a well-matched immune system. The second option is a matched unrelated donor identified through a bone marrow donor registry. Transplant outcomes are not optimal with mismatched donors.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103505</wp:posOffset>
            </wp:positionV>
            <wp:extent cx="5349240" cy="2143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State of Conditioning Regimens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Currently, patients must receive highly toxic, potentially life-threatening and non-specific conditioning agents to prepare their bone marrow for transplantation with either donor stem cells or their own gene-edited stem cells. Current conditioning agents are genotoxic and are associated with major toxicities and adverse events such as oral mucositis, sepsis, veno-occlusive disease, bacteremia, pulmonary fibrosis, and GvHD in the near term. In the long term, patients must be counseled against risk of infertility of up to 70% and risk of secondary cancers of 5-10% after chemotherapy conditioning. Additionally, there is a treatment-related mortality risk associated with current conditioning regimens that ranges from 10% to more than 50% in older patients. Other limitations of chemotherapy-based conditioning include incomplete engraftment, transplant ineligibility and prolonged hospitalization.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Current State of Hematopoietic Stem Cell Grafts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Hematopoietic stem cell grafts currently have limitations around failed or poor engraftment with the risk of clinical relapse. Furthermore, GvHD is a high-risk short- and long-term adverse event associated with HSCT as a result of donor T-cells, B-cells and NK-cells which are needed in unmodified donor HSC grafts to permit robust engraftment. Donor immune cells may react to the patient’s tissues as foreign leading to GvHD whereas newly produced immune cells are trained by the patient’s body to not act against the patient’s own cells. Due to this risk, patients also need to undergo long-term immunosuppression.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and Product Candidates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developing a conditioning agent that could significantly expand the eligible patient population for both allogeneic and autologous gene edited hematopoietic stem cell therapies in addition to engineered hematopoietic stem cells that could result in better transplant efficacy with reduced complications. Currently, approximately 20,000 patients receive allogeneic and autologous gene therapy transplants each year in the major global markets (the United States, the United Kingdom, France, Germany, Spain, Italy and Japan), and we believe this may grow to 80,000 patients with safe conditioning and more effective grafts.</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JSP191 is a targeted anti-CD117 (stem cell factor receptor) antibody which we are currently evaluating in two clinical trials for conditioning prior to stem cell transplant in patients with SCID, MDS or AML. JSP191 is designed to bind to CD117 with a greater affinity than SCF. By blocking signaling of the stem cell factor receptor, JSP191 leads to depletion of stem cell from the bone marrow. JSP191 was also designed to minimize any interaction with the immune system thereby reducing the risk of immune activation via mast cells or other pathways normally activated by antibodies.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these attributes will allow JSP191 to potentially be used as a monotherapy or in combination to deplete normal and diseased stem cells. The blocking of SCF by JSP191 may remove a critical survival signal on stem cells that leads to their depletion in the bone marrow. Other cells (mast cells, Cajal cells, germ cells, melanocytes) that express CD117 are less dependent on SCF signaling for survival and do not appear to be significantly affected by a single administration of JSP191. Furthermore, the mechanism of action (“MOA”) of JSP191 on stem cells may be synergistic with other disruptors of stem cell survival such as radiation, azacytidine, and CD47. Our MDS/AML clinical strategy aims to exploit this biology to safely clear both diseased and normal stem cells prior to transplantation of donor cells.</w:t>
      </w:r>
    </w:p>
    <w:p>
      <w:pPr>
        <w:spacing w:after="0" w:line="17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monoclonal antibody isotype and other modifications of JSP191 were also chosen carefully to retain high affinity binding to the CD117 receptor and SCF signal blockade without recruiting other immune cells that could lead to receptor activation, mast cell degranulation or other off-target toxicities. For example, simply changing JSP191 from an IgG1 isotype to an IgG2 isotype would result in less potent inhibition of CD117, potentially decreasing the effect on stem cell depletion. This finding and other data demonstrate that not all anti-CD117 antibodies behave equally or have the same MOA.</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Other known approaches to target CD117, such as anti-CD117 antibodies linked to a toxin, may have off-target toxicity. In contrast to JSP191, which provides a transient SCF signal blockade, a toxin linked anti-CD117 antibody requires internalization by CD117 expressing cells leading to cell death. Any CD117 expressing cell including stem cells, mast cells, germ cells and melanocytes may be affected by this mechanism. Furthermore, the complexity of an antibody-drug conjugate molecule adds to the manufacturing, clinical and regulatory risks of the drug development process, especially for a novel linker/payload combination that may be subject to different regulatory and Chemistry, Manufacturing and Controls (“CMC”) reviews.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1905635</wp:posOffset>
            </wp:positionH>
            <wp:positionV relativeFrom="page">
              <wp:posOffset>568960</wp:posOffset>
            </wp:positionV>
            <wp:extent cx="3745865" cy="31375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374586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for JSP191 — General</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conducted a preclinical study to determine if non-human primate (“NHP”) HSCs are sufficiently similar to human HSCs to allow use of the same phenotype assays used in human studies to evaluate the effect of JSP191 on NHP hematopoiesis. This study tested, by flow cytometry, a technique used to measure physical and chemical characteristics of a population of cells, whether homologous subsets of NHP bone marrow express the same cellular markers as human HSCs (CD34, CD90, and CD117), and if the human antibody reagents used to identify these markers could also be used for NHP HSCs. Bone marrow samples (or bone marrow aspirates) of NHPs and humans were stained with the antibody reagents directed against human CD34, CD90, and CD117. HSCs in both human and NHP bone marrow were phenotypically identified using the anti-human antibodies against CD34 and CD90. A high percentage of human and NHP cells expressing CD34 and CD90 (also CD34+ and CD90+) also express CD117. Overall, we believe these data support the use of human antibody reagents for CD34 and CD90 to assess the effect of JSP191 on hematopoiesis in NHP in vitro and in vivo studies.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Figure 1: JSP191 binds CD117 on CD34+CD90- and CD34+CD90+ cells in human and NHP bone marrow. Left panel: flow cytometric analysis of HSCs fluorescently labelled for CD34 and CD90. Right panel: the identified CD34+CD90- and CD34+CD90+ cells are then fluorescently labelled with 104D2 and JSP191. JSP191 and 104D2 non-competitively labeled the same population suggesting these antibodies bind different epitopes of NHP and human CD117.</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2291080</wp:posOffset>
            </wp:positionH>
            <wp:positionV relativeFrom="page">
              <wp:posOffset>568960</wp:posOffset>
            </wp:positionV>
            <wp:extent cx="2966085" cy="2957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96608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Non-clinical studies in NHPs conducted at Stanford by Hye-Sook Kwon, Ph.D., now Principal Scientist at Jasper, demonstrated JSP191’s ability to deplete bone marrow HSCs in a large animal model (Figure 2). Non-clinical studies in “humanized” mice demonstrated both depletion of human HSCs and engraftment of allogeneic donor HSCs. These studies supported the potential for JSP191 to deplete human stem cells prior to stem cell transplant in the IND filings for the ongoing clinical trials designed to assess the safety and efficacy of JSP191 in HSC transplant for SCID and MDS/AML.</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Figure 2: Representative flow cytometry analysis for cells fluorescently labeled with CD34 and CD90 on days 0, 10, and 42 post administration of 1.0 mg/kg JSP191. CD34+ stem cells in the bone marrow of this NHP are transiently depleted. HSC depletion lasted up to 21 days in most animals and more than 42 days in one NHP receiving the highest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125730</wp:posOffset>
            </wp:positionV>
            <wp:extent cx="5349240" cy="1997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JSP191 for Acute Myeloid Leukemia and Myelodysplastic Syndrome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AML is a cancer of the blood and bone marrow, diagnosed in about 42,000 patients annually within the major global markets. It is primarily a disease of the elderly and is the most common type of acute leukemia diagnosed in adults. Patients with AML are deemed eligible for stem cell transplantation based on criteria which includes patient fitness (age and comorbidities) and response to initial treatment, comprising of about 40% of newly diagnosed AML patients. However, stem cell transplants are administered to approximately 40% of the eligible patient population due to current challenges with highly toxic conditioning regimens. Currently, approximately 8,000 patients with AML receive a stem cell transplant annually in the major global markets.</w:t>
      </w:r>
    </w:p>
    <w:p>
      <w:pPr>
        <w:spacing w:after="0" w:line="19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MDS is a group of disorders of the bone marrow where hematopoietic stem cells fail to properly differentiate into mature blood cells, leading to low blood cell count. Approximately 29,000 patients are diagnosed with MDS annually in the major global markets. Of all newly diagnosed MDS patients, about 35% have mid to high-risk disease and about 30% of those are eligible for HSCT based on age, comorbidities and blast count. However, about 60% of MDS patients who are otherwise eligible receive a transplant due to the current challenges with highly toxic conditioning regimens. Currently, approximately 2,500 patients with MDS receive HSCT each year.</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Hematopoietic stem cell transplantation offers the only known potentially curative therapy for many forms of AML and for MDS. Standard of care conditioning regimens can be divided into three groups: myeloablative conditioning, reduced intensity conditioning and non-myeloablative conditioning. Myeloablative conditioning with high dose busulfan, high dose melphalan or high dose radiation is the most aggressive approach and is associated with the lowest rates of disease relapse. However, due to significant toxicities, including treatment related mortality, this approach is reserved for the most fit and younger patients. Reduced intensity conditioning with lower dose busulfan or lower dose melphalan can be used for a wider group of patients, but due to substantial toxicities, many patients remain ineligible. Non-myeloablative conditioning with low dose radiation (200 – 450 cGy, or centigray, a unit of radiation of exposure) is well tolerated but is associated with lower rates of successful donor chimerism and increased relapse rates compared to myeloablative or reduced-intensity conditioning.</w:t>
      </w:r>
    </w:p>
    <w:p>
      <w:pPr>
        <w:spacing w:after="0" w:line="17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Due to their age and co-morbidities, older (60 years and older) and less fit MDS and AML patients are typically unable to tolerate more intensive therapy and the toxicities associated with such treatments, and thus, have a worse prognosis than younger, fitter patients. Thus, safe and effective conditioning prior to HSCT represents an unmet medical need for MDS and AML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for JSP191 for Myelodysplastic Syndrome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Preclinical studies of immune deficient mice engrafted with MDS HSCs from patients with “high-risk and very high-risk disease” per Revised International Prognostic Scoring System (“R-IPSS”) criteria conducted at Stanford by Wendy Pang, M.D., Ph.D., now Vice President of Research and Translational Medicine at Jasper, demonstrate the utility of anti-CD117 antibodies in the treatment of MDS. Mice xenografted with high-risk MDS HSCs were treated with anti-human CD117 monoclonal antibody (“mAb”), SR-1 (the parent clone to JSP191). Initial studies showed administration of either SR-1 or JSP191 resulted in well-tolerated and sustained depletion of MDS cells obtained from low-risk MDS patients. Treatment of mice xenografted with high-risk MDS HSCs cells resulted in transient depletion (Figure 3). Given the transient depletion of high-risk MDS cells, studies were conducted to determine whether an anti-CD117 antibody followed by a normal human HSC allograft would lead to long-term disease amelioration of high-risk disease. Results showed greater than 95% cytogenetically normal CD45+ cells 12 weeks after allograft transplant (Figure 3).</w:t>
      </w:r>
    </w:p>
    <w:p>
      <w:pPr>
        <w:spacing w:after="0" w:line="1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Figure 3: (A) CD117 mAb depletes MDS stem cells as demonstrated by decreasing HSC chimerism over time. (B) Normal stem cell engraftment occurs after stem cell depletion as shown by greater than 95% cytogenetically normal CD45+ cells 12 weeks after transplant in four high-risk MDS-xenografted mice. (C) Normal blood formation results after stem cell engraftment with human cell lineages for T cells (CD3+), B cells (CD19+) and myeloid cells (CD13/33+) in the bone marrow of the four high-risk mice.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568960</wp:posOffset>
            </wp:positionV>
            <wp:extent cx="5349240" cy="1457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Mice xenografted with MDS HSCs from low-risk or high-risk patients were treated with SR-1 concurrently with an anti-mouse CD117 mAb, ACK2, to suppress endogenous mouse HSCs, and then transplanted with normal human UCB. Twelve weeks after this UCB HSC transplantation, both human myeloid and lymphoid cells like T cells and B cells were observed in the bone marrow (Figure 3), indicative of successful engraftment and sustained hematopoiesis by healthy UCB HSCs for both risk categories. Fluorescence in situ hybridization studies assessing clonal cytogenetic abnormalities confirmed that human CD45+ cells in both groups were predominantly (greater than 95%) cytogenetically normal in all SR-1 treated and UCB HSC engrafted mice. In contrast, MDS xenografted mice treated with the control antibody showed a persistence of high levels of MDS cells (greater than 95%) and were without second donor HSC engraftment.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for JSP191 for Acute Myeloid Leukemia and Myelodysplastic Syndrome</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an ongoing open label Phase 1 clinical trial to evaluate the safety and tolerability of JSP191 conditioning, in combination with low dose radiation (200-300 cGy) and fludarabine, in patients with AML or MDS undergoing blood stem cell transplantation. At clinical trial entry for the dose finding portion, all patients were transplant eligible but most still had evidence of measurable residual disease (MRD positive) as detected by cytogenetics, flow cytometry or next-generation sequencing. The starting dose of JSP191 is 0.6 mg/kg with potential escalation up to 1.0 mg/kg, fludarabine is administered at 30 mg/m2/day on transplant days -4, -3, and -2 and total body irradiation (“TBI”) is delivered at 200 or 300 cGy on the day of transplant. The primary endpoints are to evaluate the safety, tolerability and pharmacokinetic parameters of JSP191. Secondary endpoints include depletion of host HSCs, donor engraftment, donor chimerism, MRD clearance, non-relapse mortality, event-free survival and overall survival. Enrolled patients will be followed for one year. The overall study duration is anticipated to be approximately two years.</w:t>
      </w:r>
    </w:p>
    <w:p>
      <w:pPr>
        <w:spacing w:after="0" w:line="178"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In the initial dose finding Phase 1a portion of this clinical trial, 0.6 mg/kg JSP191-based conditioning was well tolerated in all six MDS/AML patients as of December 31, 2021. All six patients demonstrated evidence of successful depletion of host HSCs, observed by a reduction of neutrophil counts (“ANC”) below 500/uL following a single infusion of JSP191 (0.6 mg/kg) in combination with 200 cGy TBI and three days of 30 mg/m2/day fludarabine. Neutrophils are the most common type of white blood cell and are the first cells to engraft. Following transplant, all six patients showed successful donor engraftment as evidenced by a recovery of neutrophil counts exceeding 500/uL in 19 to 26 days (Figure 4).</w:t>
      </w:r>
    </w:p>
    <w:p>
      <w:pPr>
        <w:spacing w:after="0" w:line="16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Figure 4: Neutrophil depletion and recovery in the first six patients of the Phase 1 MDS/AML clinical trial. All six of these initial patients demonstrated ANC greater than 500/uL within 19 to 26 days after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117475</wp:posOffset>
            </wp:positionV>
            <wp:extent cx="4808855" cy="28803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0885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6" w:name="page17"/>
    <w:bookmarkEnd w:id="16"/>
    <w:p>
      <w:pPr>
        <w:ind w:right="160" w:firstLine="648"/>
        <w:spacing w:after="0" w:line="263" w:lineRule="auto"/>
        <w:rPr>
          <w:sz w:val="20"/>
          <w:szCs w:val="20"/>
          <w:color w:val="auto"/>
        </w:rPr>
      </w:pPr>
      <w:r>
        <w:rPr>
          <w:rFonts w:ascii="Arial" w:cs="Arial" w:eastAsia="Arial" w:hAnsi="Arial"/>
          <w:sz w:val="18"/>
          <w:szCs w:val="18"/>
          <w:color w:val="auto"/>
        </w:rPr>
        <w:t>At 90 days following transplant, five of six patients demonstrated 95% or greater total donor chimerism levels as measured by CD15, CD3 and CD56 assays. In addition, five of six patients no longer had evidence of MRD at day 90. Total donor chimerism of 95% or greater and change in MRD status from positive to negative are both associated with reduced risk of disease relapse.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next portion of the clinical trial, a Phase 1b dose expansion cohort, has recently completed enrollment. Initial results from the first seventeen Phase 1a and Phase 1b patients show that 0.6 mg/kg JSP191-based conditioning was well tolerated with all seventeen patients achieving successful engraftment. As of Day 90, each of the fourteen evaluable Phase 1a and 1b subjects achieved full myeloid donor chimerism (mean 98.4 ± 1.2%). Ten of twelve Phase 1a and 1b patients with MRD prior to transplant no longer had evidence of MRD at Day 90. As of reporting of these initial Phase 1a and 1b results, four patients have come off study, two due to relapse or disease progression, one due to late onset Grade 3 acute GvHD and one due to secondary graft failure (Figure 5).</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Figure 5: JSP191 MDS/AML Phase 1 preliminary clinical results in the first seventeen patients. The clinical trial cohorts consisted AML/MDS patients not eligible for standard myeloablative regimens (HCT-Cl greater than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117475</wp:posOffset>
            </wp:positionV>
            <wp:extent cx="4808855" cy="4911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08855" cy="491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81" w:right="479" w:bottom="1440" w:gutter="0" w:footer="0" w:header="0"/>
        </w:sectPr>
      </w:pPr>
    </w:p>
    <w:bookmarkStart w:id="17" w:name="page18"/>
    <w:bookmarkEnd w:id="17"/>
    <w:p>
      <w:pPr>
        <w:ind w:right="20" w:firstLine="648"/>
        <w:spacing w:after="0" w:line="279" w:lineRule="auto"/>
        <w:rPr>
          <w:sz w:val="20"/>
          <w:szCs w:val="20"/>
          <w:color w:val="auto"/>
        </w:rPr>
      </w:pPr>
      <w:r>
        <w:rPr>
          <w:rFonts w:ascii="Arial" w:cs="Arial" w:eastAsia="Arial" w:hAnsi="Arial"/>
          <w:sz w:val="17"/>
          <w:szCs w:val="17"/>
          <w:color w:val="auto"/>
        </w:rPr>
        <w:t>No JSP191 related SAEs have been reported, including no cases of oral mucositis, no cases of veno-occlusive disease. One case of grade 3 late onset GI GvHD and only two cases of chronic GvHD of any grade have been reported, one mild and one moderate case. Since starting the study in July 2020, SAEs have been reported in seven patients, including infections, cardiovascular events, headache, hyperkalemia and secondary graft failure, which is loss of a previously functioning graft. None were related to treatment as determined by the investigator.</w:t>
      </w:r>
    </w:p>
    <w:p>
      <w:pPr>
        <w:spacing w:after="0" w:line="17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Additional data will be presented as a late-breaking oral abstract at the 2022 Transplant and Cellular Therapy (TCT) Meetings of ASTCT and CIBMTR to be held April 23-26,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for Severe Combined Immunodeficiency (SCID)</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SCID is a genetically heterogeneous group of over 20 monogenic conditions of the immune system characterized by the lack of normal T lymphocyte development, in addition to deficiencies of B cells, NK cells, or both in some forms which is currently curable only by hematopoietic cell transplant. The incidence of SCID is estimated at one in 80,000 live births across all ethnic groups. Due to the toxicities associated with the chemotherapy regimens used in standard allogeneic hematopoietic cell transplantation (“HCT”) to deplete endogenous HSC, some centers do not use conditioning regimens. SCID patients who undergo unconditioned HCT have relatively improved overall survival but often experience incomplete immune reconstitution characterized by inadequate T cell numbers and/or ongoing deficiency of B cell humoral immunity. This issue occurs more frequently in those patients who do not have a human leukocyte antigen-matched donor and who therefore receive T cell depleted haploidentical donor grafts.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Patients who receive full or reduced doses of busulfan tend to engraft well and have full lymphocyte reconstitution. However, due to busulfan’s off-target toxic effects, these patients experience both short- and long-term complications. Since these patients receive busulfan (a DNA damaging drug) as infants, they experience chronic complications such as growth retardation, cognitive defects, craniofacial abnormalities, liver toxicity, seizure, endocrine defects including infertility and increased cancer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 for JSP191 for Severe Combined Immunodeficiency</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ability of JSP191 to deplete human hematopoiesis was evaluated in humanized immune deficient mice that were stably engrafted with human hematopoietic grafts at Stanford by Aaron Logan, M.D., Ph.D., et al. The mice were treated with a single dose of either 0.5 or 3.0 mg/kg JSP191. No significant differences in depletion of human cells and HSCs after six weeks of treatment were noted between the two dose levels of JSP191. After a single treatment with JSP191, mice were depleted of human cells in peripheral blood and bone marrow. Human HSCs and progenitor cells (CD45+CD34+CD117+) in the bone marrow were substantially decreased for six weeks after treatment with JSP191.</w:t>
      </w:r>
    </w:p>
    <w:p>
      <w:pPr>
        <w:spacing w:after="0" w:line="17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To model human transplantation with a JSP191-based conditioning regimen, humanized immune deficient mice that had been stably engrafted with human hematopoietic cells underwent a second transplant using conditioning with JSP191 with or without the addition of an anti-CD52 antibody (Campath) that depletes human lymphocytes. The second human HSC graft was from a different donor, hence was allogeneic to the first human graft. This second donor graft was transduced with a lentiviral vector to express the marker green fluorescence protein (“GFP”) to allow assessment of its engraftment. CD34+ GFP marked cells were injected into untreated control mice or mice that had been treated 23 – 25 days previously with JSP191 with or without anti-CD52. After six weeks, the blood of these secondarily transplanted mice was evaluated for evidence of GFP-marked second donor cells.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8" w:name="page19"/>
    <w:bookmarkEnd w:id="18"/>
    <w:p>
      <w:pPr>
        <w:ind w:right="160"/>
        <w:spacing w:after="0" w:line="277" w:lineRule="auto"/>
        <w:rPr>
          <w:sz w:val="20"/>
          <w:szCs w:val="20"/>
          <w:color w:val="auto"/>
        </w:rPr>
      </w:pPr>
      <w:r>
        <w:rPr>
          <w:rFonts w:ascii="Arial" w:cs="Arial" w:eastAsia="Arial" w:hAnsi="Arial"/>
          <w:sz w:val="18"/>
          <w:szCs w:val="18"/>
          <w:i w:val="1"/>
          <w:iCs w:val="1"/>
          <w:color w:val="auto"/>
        </w:rPr>
        <w:t>Figure 6: JSP191 in addition to an anti-CD52 antibody demonstrated the highest level of engraftment. Engraftment was demonstrated by human CD45+ cells marked to express GFP.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117475</wp:posOffset>
            </wp:positionV>
            <wp:extent cx="2657475" cy="2922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747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Mice pre-treated with JSP191 and anti-CD52 demonstrated the highest level of engraftment, with 67% (six of nine) of human CD45+ cells also expressing GFP. In mice treated only with JSP191, 43% (three of seven) were GFP positive. In control mice pre-treated with anti-CD52 alone, no mice (zero of seven) showed GFP expression, while one of ten (10%) control mice not given any pre-treatment showed GFP expression (Figure 6).</w:t>
      </w:r>
    </w:p>
    <w:p>
      <w:pPr>
        <w:spacing w:after="0" w:line="149"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We believe that this study can serve as a preclinical proof of concept of JSP191 conditioning enhanced engraftment with CD34+ progenitor cells in mice, suggesting it may be efficacious in an analogous clinical setting. JSP191 appeared to be particularly effective in this setting when used along with an anti-CD52 antibody, which was used a separate lymphodepleting agent to suppress rejection by the immune competent first allograft.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Data for JSP191 for Severe Combined Immunodeficiency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an ongoing Phase 1/2 dose escalation open label clinical trial to evaluate JSP191 as the sole conditioning agent to achieve HSC engraftment in patients undergoing transplant for SCID. The primary endpoint in Phase 1 is to assess the safety and tolerability of JSP191 as a conditioning agent in SCID patients. The two primary efficacy endpoints in Phase 2 are the proportion of patients achieving adequate donor HSC engraftment and the proportion of patients achieving naïve CD4+ T cell production greater than or equal to 85 cells/uL, a level expected to provide immune reconstitution, during weeks 36 to 104 post-transplant. Secondary endpoints include durability of naïve T cell production, incidence and severity of GvHD, hematopoietic recovery and pharmacokinetic properties of JSP191. Patients receive a single IV infusion of JSP191 on study day 0 in one of four dose cohorts: 0.1 mg/kg, 0.3 mg/kg, 0.6mg/kg or 1.0 mg/kg. Patients will be followed for five years following transplant. This trial is currently open for enrollment at multiple clinical trial sites in the United States.</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Other studies of SCID patients have shown functional T and B cell reconstitution in patients achieving long-term myeloid donor chimerism of at least 3%. SCID patients who fail to achieve durable donor cell engraftment from a first transplant may not be candidates for a second transplant using current conditioning agents due to the toxicity of the conditioning regimen and fragile nature of most SCID patients. These patients may remain on medically supportive immune therapies such as intravenous immunoglobulin (“IVIG”) or receive an unconditioned “boost” transplant of donor cells which does not lead to sustained production of new immune cells.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9" w:name="page20"/>
    <w:bookmarkEnd w:id="19"/>
    <w:p>
      <w:pPr>
        <w:ind w:firstLine="648"/>
        <w:spacing w:after="0" w:line="271" w:lineRule="auto"/>
        <w:rPr>
          <w:sz w:val="20"/>
          <w:szCs w:val="20"/>
          <w:color w:val="auto"/>
        </w:rPr>
      </w:pPr>
      <w:r>
        <w:rPr>
          <w:rFonts w:ascii="Arial" w:cs="Arial" w:eastAsia="Arial" w:hAnsi="Arial"/>
          <w:sz w:val="17"/>
          <w:szCs w:val="17"/>
          <w:color w:val="auto"/>
        </w:rPr>
        <w:t>We believe JSP191 has enabled immune reconstitution for patients based on naïve CD4+ T-cell levels and has shown clinical benefit in SCID patients in a re-transplant and first transplant setting. Patients have shown resolution of chronic infections, independence from or reduction of IVIG therapy and antibody response to vaccine challenge. Through December 31, 2021 in this open label clinical trial, fifteen re-transplant patients and three first transplant patients have been treated in the ongoing SCID Phase 1/2 study. Most of the transplanted patients have shown engraftment of donor cells and production of functional immune cells over up to three years of follow up (Figure 7). No JSP191 treatment related SAEs have been reported through December 31, 2021 in this clinical trial. Since starting the study in March 2017, SAEs in seven patients have been reported, including fever, infections and hypocalcemia. None were related to treatment as determined by the investigator. Based on initial efficacy and safety results, we opened the clinical trial to a cohort of newly diagnosed infants undergoing stem cell transplant.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complete enrollment in the Phase 1/2 clinical trial by mid-2023.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Figure 7: Naïve CD4 T cell production post-transplant was monitored over time in (A) a matched cohort of patients receiving no conditioning and</w:t>
      </w:r>
    </w:p>
    <w:p>
      <w:pPr>
        <w:spacing w:after="0" w:line="46" w:lineRule="exact"/>
        <w:rPr>
          <w:sz w:val="20"/>
          <w:szCs w:val="20"/>
          <w:color w:val="auto"/>
        </w:rPr>
      </w:pPr>
    </w:p>
    <w:p>
      <w:pPr>
        <w:ind w:right="260" w:firstLine="8"/>
        <w:spacing w:after="0" w:line="260" w:lineRule="auto"/>
        <w:tabs>
          <w:tab w:leader="none" w:pos="27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patients receiving JSP191 single agent conditioning. JSP191 conditioning in SCID patients demonstrated durable naïve T cell production and T cell levels consistent with immune reconstitution in five out of the first six patients by two years post-transplant.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127000</wp:posOffset>
            </wp:positionV>
            <wp:extent cx="5349240" cy="1663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as a Primary Therapeutic for Proliferative Disorders of the Stem Cell</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 transforming event in hematopoietic stem cells can produce several different malignancies. Cancer stem cells possess qualities of self-renewal, prolonged survival, and the ability to give rise to cells with more differentiated characteristics. The idea that cancer is primarily driven by a smaller population of stem cells has important implications. For instance, many chemotherapies can shrink tumors or deplete downstream differentiated cells, but if the therapies do not kill cancer stem cells, the tumor will grow back.</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It has been shown that HSCs are the disease-initiating cells in cancers like MDS, and that these pathogenic MDS HSCs outcompete normal HSCs present in the bone marrow of affected patients. Furthermore, these disease-initiating HSCs express CD117, and anti-CD117 antibodies can target and eradicate these pathogenic cells. This is especially significant in a disease like MDS where available therapies either lack disease-modifying activity or possess off-target toxicity, preventing their use in older and/or fragile individuals who comprise most of the patients affected by MDS. Development of anti-CD117 monoclonal antibodies, which might be safely used for targeting MDS clones, would represent a major step forward for this disease.</w:t>
      </w:r>
    </w:p>
    <w:p>
      <w:pPr>
        <w:spacing w:after="0" w:line="16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plan to evaluate JSP191 as a therapeutic for certain MDS patients. The Revised International Prognostic Scoring System (“IPSS-R”) is a clinical assessment tool used to evaluate risk and prognosis of newly diagnosed patients. Patients with IPSS-R scores of low or very low are not typically referred to stem cell transplant due to the risk of transplant-related toxicities from current conditioning regiments, infection and GvHD outweighing the patient’s expected survival with drug therapies. These patients typically suffer from anemia, thrombocytopenia or neutropenia and are given drug therapies such as an erythropoiesis stimulating agent (“ESA”) to stimulate production of new cells to correct their blood deficiency. However, these agents do not target the diseased hematopoietic stem cell and patients who become refractory to ESA are dependent on routine blood transfusions, which is associated with poor survival. ESA refractory low or very low risk MDS patients have few treatment options and are a clinical unmet need.</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JSP191 and other anti-CD117 monoclonal antibodies have been shown to deplete normal and diseased MDS human hematopoietic stem cells in clinical and pre-clinical studies. In studies in non-human primates and healthy volunteers, administration of a single dose of JSP191 resulted in depletion of healthy hematopoietic stem cells followed by recovery in approximately six weeks. Dr. Wendy Pang demonstrated at Stanford that our anti-CD117 monoclonal antibody called JSP191 is capable of depleting MDS HSCs in vivo in a xenografted mouse model. New data from our MDS/AML trial of JSP191 as a conditioning agent have revealed that the antibody can have a direct depletion effect on CD34+CD45-CD117+ cells prior to administration of fludarabine or radiation. By depleting diseased and healthy hematopoietic stem cells, we believe that JSP191 may allow for preferential recovery of healthy hematopoietic stem cells and restoration of normal hematopoiesis.</w:t>
      </w:r>
    </w:p>
    <w:p>
      <w:pPr>
        <w:spacing w:after="0" w:line="177"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intend to study JSP191 monotherapy in low-risk MDS patients with documented cytopenia who are refractory to ESA therapy. We plan to run the primary treatment study under the existing NDA for MDS/AML and anticipate enrollment to begin in this single arm clinical trial in early 2023.</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JSP191 for Sickle Cell Disease (“SCD”)</w:t>
      </w:r>
    </w:p>
    <w:p>
      <w:pPr>
        <w:spacing w:after="0" w:line="200" w:lineRule="exact"/>
        <w:rPr>
          <w:sz w:val="20"/>
          <w:szCs w:val="20"/>
          <w:color w:val="auto"/>
        </w:rPr>
      </w:pPr>
    </w:p>
    <w:p>
      <w:pPr>
        <w:spacing w:after="0" w:line="2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SCD is an inherited blood disorder that affects the hemoglobin protein in red blood cells that delivers oxygen to tissues and organs. Approximately 300,000 infants are born with SCD annually worldwide, and the number of cases is expected to significantly increase. Currently, HSCT is the only cure available for SCD. Allogeneic transplants as well as new autologous gene-edited transplants both currently rely on myeloablative conditioning with either busulfan or melphalan. We believe JSP191 could be a significant advance for patients, replacing these current agents which are known to be genotoxic and associated with limited efficacy and serious adverse effects, including veno-occlusive disease, infertility and secondary malignancies. JSP191 for SCD patients will be evaluated in a clinical trial collaboration with the National Heart, Lung, and Blood Institute (“NHLBI”). We expect this study to start enrollment in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for Chronic Granulomatous Disease (“CGD”)</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CGD is a rare, inherited disease of the immune system that develops in infancy or early childhood and results in severe and sometimes life-threatening infections. Allogeneic hematopoietic stem cell transplant is a proven cure for CGD. However, its use is limited because of the associated serious adverse effects and limited efficacy of current conditioning agents used to deplete stem cells in preparation for transplantation. JSP191 for CGD patients will be evaluated in a clinical trial collaboration with the National Institute of Allergy and Infectious Diseases (“NIAID”). We expect this study to start enrollment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for GATA-2 MDS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GATA-2 MDS is a type of MDS characterized by mutations in the GATA-2 gene resulting in complex phenotypes including increased risk of infection, deficiencies of immune cells such as B- and NK-cells and overall poor prognosis. Allogeneic stem cell transplant may be used to cure these patients; however, use of current conditioning agents can be difficult due to the fragile health status of these patients. JSP191-based conditioning for GATA-2 MDS patients will be evaluated in a clinical trial collaboration with the National Cancer Institute (“NCI”). We expect this study to start enrollment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for Fanconi Anemia (“FA”)</w:t>
      </w:r>
    </w:p>
    <w:p>
      <w:pPr>
        <w:spacing w:after="0" w:line="225" w:lineRule="exact"/>
        <w:rPr>
          <w:sz w:val="20"/>
          <w:szCs w:val="20"/>
          <w:color w:val="auto"/>
        </w:rPr>
      </w:pPr>
    </w:p>
    <w:p>
      <w:pPr>
        <w:jc w:val="both"/>
        <w:ind w:right="440" w:firstLine="648"/>
        <w:spacing w:after="0" w:line="287" w:lineRule="auto"/>
        <w:rPr>
          <w:sz w:val="20"/>
          <w:szCs w:val="20"/>
          <w:color w:val="auto"/>
        </w:rPr>
      </w:pPr>
      <w:r>
        <w:rPr>
          <w:rFonts w:ascii="Arial" w:cs="Arial" w:eastAsia="Arial" w:hAnsi="Arial"/>
          <w:sz w:val="16"/>
          <w:szCs w:val="16"/>
          <w:color w:val="auto"/>
        </w:rPr>
        <w:t>FA is a rare but serious blood disorder that prevents the bone marrow from making sufficient new red blood cells. It can also cause the bone marrow to make abnormal blood cells. FA typically presents at birth or early in childhood between five and ten years of age. Ultimately, it can lead to serious complications, including bone marrow failure and severe aplastic anemia. Cancers such as AML and MDS are other possible complications.</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Treatment may include blood transfusions or medicine to create more red blood cells, but HSCT is the only cure. JSP191 for FA patients will be evaluated in a clinical trial collaboration with Stanford University. This study has started patient enrollment.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for Gene Therapy</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Every gene therapy in academia or industry that modifies HSCs also requires pre-transplant conditioning to make space in the patient’s bone marrow for the gene therapy to engraft. These types of gene therapies address a broad range of disease including heme disorders (e.g., SCD, beta thalassemia, FA), immune disorders (e.g., SCID, CGD, leukocyte adhesion deficiency), lysosomal storage disorders (e.g., Fabry, Gaucher, Pompe), neurologic disorders (e.g., frontotemporal dementia, amyotrophic lateral sclerosis) and bone disorders (e.g., infant malignant osteoporosis) to name a few. Toxic alkylators like busulfan are still the standard conditioning regimens on which these gene therapies rely. As a result, their curative benefit is limited to patients that can tolerate the conditioning. Furthermore, gene therapy trials have also been halted by the FDA due to secondary malignancies discovered in study patients, which is a well-known risk of genotoxic conditioning.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568960</wp:posOffset>
            </wp:positionV>
            <wp:extent cx="5349240" cy="2486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are collaborating with corporate partners, including Graphite Bio, Aruvant Sciences and Avrobio, to study JSP191 as targeted, non-toxic conditioning for investigational gene therapies. With Graphite Bio, JSP191 is being studied as conditioning prior to GPH201 gene replacement therapy for patients with X-SCID. X-SCID is a severe, inherited disorder of the immune system with symptoms often presenting in early infancy, including persistent infections and failure to thrive. Without treatment, X-SCID is typically fatal to patients in the first two years of life. With Aruvant Sciences, JSP191 is being studied as conditioning prior to ARU-1801 gene therapy for patients with SCD. With Avrobio, JSP191 is being studied as conditioning prior to gene therapy for patients with Gaucher disease.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JSP191 for Autoimmune Disorders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Autologous stem cell transplantation for inducing remission and curing severe and refractory autoimmune diseases is relatively well established, but limitations still exist around toxicity and transplanted-related death. We believe JSP191 can address current challenges through targeted and safer conditioning for autoimmune disease patients. We are evaluating options for a clinical study of a JSP191-based conditioning regimen for patients with severe refractor autoimmune diseases.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Engineered Hematopoietic Stem Cell (eHSC) Therapy</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eHSC platform includes multiple approaches to developing product candidates that are currently in preclinical development and are designed to overcome key limitations of allogeneic and autologous gene-edited stem cell grafts. By using mRNA delivery or gene editing we believe we can reprogram allogeneic donor or gene-edited stem cells to have a transient proliferative and survival advantage, potentially leading to higher engraftment rates and reduced or eliminated GvHD by elimination of co-transplanted donor immune cells in allogeneic transplants.</w:t>
      </w:r>
    </w:p>
    <w:p>
      <w:pPr>
        <w:spacing w:after="0" w:line="171"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are evaluating multiple approaches to use mRNA to increase engraftment of HSCs. One approach is to increase expression of CXCR4, a cell surface protein involved in cellular homing to the bone marrow. Another approach is to use mRNA to transiently increase expression of known variants of the stem cell factor receptor that signal independent of ligand (stem cell factor) concentration. Another approach in preclinical development is to use mRNA delivery or gene editing to express a variant of the stem cell factor receptor that is resistant to JSP191. We are also working on other approaches to increase stem cell competitiveness that are not related to stem cell factor receptor signaling or cellular homing.</w:t>
      </w:r>
    </w:p>
    <w:p>
      <w:pPr>
        <w:spacing w:after="0" w:line="17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Initial in vitro experimental results in human cell lines show that expression of a constitutively active variant of the stem cell factor receptor can lead to cell line proliferation independent of stem cell factor concentration. In addition, these variant cells are not affected by JSP191 since the engineered cells proliferate independent of receptor signaling. Other in vitro experiments have shown that mRNA can be used to express these receptor variants and other target proteins, such as CXCR4, transiently on the cell surface. We have also identified potential receptor modifications that will keep stem cell factor binding intact but decrease or eliminate JSP191 binding.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jc w:val="both"/>
        <w:ind w:right="120" w:firstLine="648"/>
        <w:spacing w:after="0" w:line="263" w:lineRule="auto"/>
        <w:rPr>
          <w:sz w:val="20"/>
          <w:szCs w:val="20"/>
          <w:color w:val="auto"/>
        </w:rPr>
      </w:pPr>
      <w:r>
        <w:rPr>
          <w:rFonts w:ascii="Arial" w:cs="Arial" w:eastAsia="Arial" w:hAnsi="Arial"/>
          <w:sz w:val="18"/>
          <w:szCs w:val="18"/>
          <w:color w:val="auto"/>
        </w:rPr>
        <w:t>In the setting of autologous gene edited stem cells, these technologies could lead to faster and more complete engraftment of edited cells without the need for toxic conditioning. Depending on the Jasper technology used, additional infusions of gene modified cells may potentially be given to patients with low or fading responses to target protein production.</w:t>
      </w:r>
    </w:p>
    <w:p>
      <w:pPr>
        <w:spacing w:after="0" w:line="18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In the setting of allogeneic transplant, pure stem cell grafts can be used in place of today’s replete or modified grafts. Similar to the autologous setting, we believe these technologies can lead to faster and more complete engraftment of donor stem cells without the need for toxic conditioning. In addition, by eliminating the need for donor passenger lymphocytes to drive engraftment, we can potentially eliminate the risk of GvHD and the need for long-term immune suppression. If approved, this approach may also increase the potential for use of partially matched grafts and expand the potential donor pool available for any given patient.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planning to present in-vivo data on the eHSC program in 2022 and plan to file an IND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49240" cy="2357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Areas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are other conditions and potential applications for JSP191 and the eHSC program. We have assessed the existing stem cell transplant market and potential eligible patient population on a per-indication basis to estimate the potential number of patients that could benefit from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Hematopoietic Stem Cell-Based Gene Therapies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combination of stem cell transplantation and gene therapy has shown the potential to correct pathological genetic mutations but also the same limitations as unmodified stem cell transplantation, which include the toxicities of current conditioning agents. Furthermore, stem cell gene therapy requires larger doses of genetically modified stem cells for proper engraftment. We believe our product candidates can improve the field of stem cell gene therapy and address currently identified challenges.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United States alone, over 100,000 patients suffer from SCD, while about 52,000 patients are affected in the major markets in Europe.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Approximately 58,000 patients from this pool are eligible for HSCT or gene therapy as they have severe SCD.</w:t>
      </w:r>
    </w:p>
    <w:p>
      <w:pPr>
        <w:spacing w:after="0" w:line="21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Approximately 2,700 patients in the United States suffer from beta-thalassemia and about 16,000 in the European Union suffer from it annually. Approximately 70% of these patients can be classified to have beta-thalassemia major and, of that patient population, about 20%, or 2,600 patients, are eligible for stem cell transplant.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License Agreements with Amgen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November 2019, we entered into a worldwide exclusive license agreement with Amgen for JSP191 (formerly AMG 191) that also includes translational science and materials from Stanford University. We were assigned and accepted Amgen’s rights and obligations, effective November 21, 2019, for the Investigator Sponsored Research Agreement (“ISRA”), entered into in June 2013, between Amgen and The Board of Trustees of the Leland Stanford Junior University (“Stanford”) and Quality Agreement between Amgen and Stanford, effective as of October 7, 2015. Under the ISRA, we received an option to negotiate a definitive license with Stanford for rights to certain Stanford intellectual property related to the study of JSP191 in exchange for an option exercise fee of $1.0 million, payable over a two-year period (the “Option”). We exercised the Option to Stanford docket S06-265 “Antibody-based clearance of endogenous stem cell niches prior to transplantation of bone marrow or hematopoietic stem cells (c-kit)” granted by Stanford under the ISRA on June 2, 2020. As a result, we have worldwide exclusive rights to develop and commercialize JSP191. The issued U.S. patents would be expected to expire in 2027, absent any applicable patent term extensions.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 with Stanford</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March 2021, we entered into an exclusive license agreement with respect to the use of JSP191 from the Stanford Office of Technology Licensing to license U.S. Patent Application Serial Number 60/856,435, filed Nov. 3, 2006, and U.S. Patent Application Serial Number 12/447,634 (publication number US 2010/0226927 Al) and Know How for the purpose of depleting endogenous blood stem cells in patients for whom hematopoietic cell transplantation is indicated.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success depends in part on our ability to obtain and maintain proprietary protection for our product candidates and other discoveries, inventions, trade secrets and know-how that are critical to our business operations. It also depends in part on our ability to operate without infringing the proprietary rights of others, and in part, on our ability to prevent others from infringing our proprietary rights. We have a series of in-licensed patents outlined below with an additional pending patent application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In-licensed Amgen Portfolio</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exclusively licensed a patent family from Amgen applicable to our targeted conditioning program that contains patents and applications directed to humanized c-kit antibody. As of March 8, 2022, this patent portfolio includes three issued U.S. patents and one European patent, as well as granted patents in Australia, Canada, Japan, and Mexico, and pending patent applications in Europe and Hong Kong. The issued U.S. and European patents would be expected to expire in 2027, absent any applicable patent term extensions.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In-licensed Stanford Portfolio</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have an exclusive license in the field of use of depleting endogenous blood stem cells in patients for whom hematopoietic cell transplantation is indicated to a patent family from Stanford University applicable to targeted conditioning that contains patents and applications directed to immunodepletion of endogenous stem cell niche prior to hematopoietic stem cell transplantation. As of March 8, 2022, this patent portfolio includes one issued U.S. patent and two European patents, as well as pending U.S. and European patent applications. The issued U.S. and European patents would be expected to expire in 2027, absent any applicable patent term extensions.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Jasper Portfolio</w:t>
      </w:r>
    </w:p>
    <w:p>
      <w:pPr>
        <w:spacing w:after="0" w:line="225"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We own four patent families directed to compositions and/or methods for hematopoietic stem cell transplantation, and one patent family directed to other methods of treating certain hematopoietic malignancies. These patent families include U.S. provisional applications and one PCT application. Any patents that grant from these applications would be expected to expire in 2042 or 2043, absent any applicable patent term extensions.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Intellectual Property</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also rely on trade secrets, including know-how, confidential information, unpatented technologies and other proprietary information, to strengthen or enhance our competitive position, and prevent competitors from reverse engineering or copying our technologies. We maintain, as trade secrets, information relating our product candidates currently in development, as well as information related to our business strategy and business methods. However, trade secrets and confidential know-how are difficult to protect. To avoid inadvertent and improper disclosure of trade secrets, and to avoid the risks of former employees using these trade secrets to gain future employment, it is our policy to require employees, consultants and independent contractors to assign to us all rights to intellectual property they develop in connection with their employment with or services for us.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 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ind w:right="120" w:firstLine="648"/>
        <w:spacing w:after="0" w:line="255" w:lineRule="auto"/>
        <w:rPr>
          <w:sz w:val="20"/>
          <w:szCs w:val="20"/>
          <w:color w:val="auto"/>
        </w:rPr>
      </w:pPr>
      <w:r>
        <w:rPr>
          <w:rFonts w:ascii="Arial" w:cs="Arial" w:eastAsia="Arial" w:hAnsi="Arial"/>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these rights may not be respected in the future or may be circumvented or challenged (and potentially invalidated) in a legal proceeding in any jurisdiction where we have intellectual property rights. In addition, the laws of various foreign countries may not afford the same protections or assurances to the same extent as the laws in the United States. See the section titled “Risk Factors — Risks Related to Our Intellectual Property” for additional information regarding these and other risks related to intellectual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industry we operate is in highly competitive and dynamic, subject to rapid technological change. We have competition in the market for both our product candidates and may face competition from large pharmaceutical and biotechnology companies, smaller pharmaceutical and biotechnology companies, specialty pharmaceutical companies, generic drug companies, academic institutions, government agencies, research institutions and others. We believe that our intellectual property, proprietary scientific knowledge, development experience and partnerships will provide us with competitive advantages in the market we operate in.</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are aware of competing stem cell transplant and conditioning products and adjacent therapies, not limited to small molecules, biologics and cell therapies, that address the same domain of conditions we are targeting. The following list of competitors indicate companies that are directly competing with our two product candidates.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Competitors for our JSP191 CD117 targeted conditioning program include the following:</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Magenta Therapeutics, Inc., which is developing an antibody drug conjugate with an antibody to CD117 linked to an amanitin toxic payload;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Gilead Sciences, Inc., which is developing an antibody to CD117 that may be used in combination with an antibody to CD47;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Actinium Pharmaceuticals, Inc., which is developing an antibody to CD45 that is fused to iodine-131 radioisotope;</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Celldex Therapeutics, Inc., which is developing an antibody to inhibit tyrosine kinase KIT found in mast cells and is being studied in mast cell diseases;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Molecular Templates Inc., which is developing an antibody to CD45 that is fused to an engineered Shiga-like toxin.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Competitors for our engineered stem cell therapy program include the following: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Vor Biopharma, Inc., which is developing treatment-resistant marrow cells that enable CD33 targeted therapy;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Sana Biotechnology, Inc., which is developing hypoimmune cells designed to evade rejection and enable persistence of differentiated cells;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Ensoma Inc., which is developing viral vectors for delivery of cell modification payload in vivo;</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Orca Bio, which is developing precision allogeneic cell therapy products meant to safely and effectively replace a patient’s blood and immune system; and</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Talaris Therapeutics, Inc., which aims to remove the need for immunosuppression for solid organ transplantation recipient with a facilitated allogeneic stem cell therapy.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do not currently have sales and marketing infrastructure to support commercial launch of our product candidates, if approved. We may build such capabilities in North America prior to potential launch of JSP191. Outside of North America, we may rely on licensing, co-sale and co-promotion agreements with strategic partners for the commercialization of our product candidates.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JSP191 will be approved.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invest significantly in our research and development efforts, to discover and validate therapeutics while improving our processes and approach to drug making. We strive to progress candidates that can address unmet or underserved clinical needs and favor programs with well-validated targets and defined regulatory approval paths. Our R&amp;D team has played key roles in discovering and developing a number of promising candidates over the past 20 plus years while at Jasper, and while at Johnson &amp; Johnson, AstraZeneca, Bristol-Myers Squibb, Portola, Allergan, Sanofi, Amgen, Alexion and others. They have leveraged experience, insights and capabilities to optimize development, along with fostering collaboration with external partners to innovate and expand into potential additional indications. Our current development-stage portfolio consists of two product candidates discovered through collaboration and our internal research efforts.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do not currently own or operate any manufacturing facility. We rely on contract manufacturing organizations (“CMOs”) to produce our drug candidates in accordance with cGMP regulations for use in our clinical studies. The manufacture of pharmaceuticals is subject to extensive cGMP regulations, which impose various procedural and documentation requirements and govern all areas of record keeping, production processes and controls, personnel and quality control. Under our license agreement with Amgen, we have received a substantial amount of drug product to support initiation of our planned clinical trials of JSP191. In November 2019, we entered into development and manufacturing agreements with Lonza relating to the manufacturing of JSP191 and product quality testing. The facility of Lonza in Slough, United Kingdom is responsible for production and testing of drug substance. The facility of Lonza in Stein, Switzerland is responsible for production and testing of drug product. Labelling, packaging and storage of finished drug product is provided by PCI Pharma Services, in San Diego, California.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22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In the United States, our product candidates are regulated as biological products, or biologics, under the Public Health Service Act (“PHSA”) and the Food, Drug, and Cosmetic Act (“FDCA”) and its implementing regulations and guidance.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right="420" w:firstLine="648"/>
        <w:spacing w:after="0" w:line="277"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170" w:lineRule="exact"/>
        <w:rPr>
          <w:sz w:val="20"/>
          <w:szCs w:val="20"/>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(“GLP”) regulations;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by an IRB representing each clinical site before each clinical trial may be initiated;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cGCPs;</w:t>
      </w:r>
    </w:p>
    <w:p>
      <w:pPr>
        <w:spacing w:after="0" w:line="170" w:lineRule="exact"/>
        <w:rPr>
          <w:rFonts w:ascii="Arial" w:cs="Arial" w:eastAsia="Arial" w:hAnsi="Arial"/>
          <w:sz w:val="18"/>
          <w:szCs w:val="18"/>
          <w:color w:val="auto"/>
        </w:rPr>
      </w:pPr>
    </w:p>
    <w:p>
      <w:pPr>
        <w:jc w:val="both"/>
        <w:ind w:left="660" w:right="2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(“BLA”) for a biologic product requesting marketing for one or more proposed indications, including submission of detailed information on the manufacture and composition of the product in clinical development and proposed labelling;</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225"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any FDA audits of the preclinical studies and clinical trial sites to assure compliance with GLP, as applicable, and good clinical practices (“GCP”), and the integrity of clinical data in support of the BLA;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payment of user Prescription Drug User Fee Act (“PDUFA”) securing FDA approval of the BLA and licensure of the new biologic product; and</w:t>
      </w:r>
    </w:p>
    <w:p>
      <w:pPr>
        <w:spacing w:after="0" w:line="248" w:lineRule="exact"/>
        <w:rPr>
          <w:rFonts w:ascii="Arial" w:cs="Arial" w:eastAsia="Arial" w:hAnsi="Arial"/>
          <w:sz w:val="16"/>
          <w:szCs w:val="16"/>
          <w:color w:val="auto"/>
        </w:rPr>
      </w:pPr>
    </w:p>
    <w:p>
      <w:pPr>
        <w:ind w:left="660" w:right="3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(“REMS”) and any post-approval studies or other post-marketing commitments required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Before testing any biologic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7" w:name="page28"/>
    <w:bookmarkEnd w:id="27"/>
    <w:p>
      <w:pPr>
        <w:ind w:firstLine="648"/>
        <w:spacing w:after="0" w:line="275"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7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 or future clinical trials in a timely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w:t>
      </w:r>
    </w:p>
    <w:p>
      <w:pPr>
        <w:spacing w:after="0" w:line="16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170" w:lineRule="exact"/>
        <w:rPr>
          <w:sz w:val="20"/>
          <w:szCs w:val="20"/>
          <w:color w:val="auto"/>
        </w:rPr>
      </w:pPr>
    </w:p>
    <w:p>
      <w:pPr>
        <w:ind w:left="660" w:right="20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to test the product candidate for safety, including adverse effects, dose tolerance, absorption, metabolism, distribution, excretion, and pharmacodynamics in healthy humans or, on occasion, in patients, such as cancer patients.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8" w:name="page29"/>
    <w:bookmarkEnd w:id="28"/>
    <w:p>
      <w:pPr>
        <w:ind w:left="6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65" w:lineRule="exact"/>
        <w:rPr>
          <w:rFonts w:ascii="Arial" w:cs="Arial" w:eastAsia="Arial" w:hAnsi="Arial"/>
          <w:sz w:val="17"/>
          <w:szCs w:val="17"/>
          <w:color w:val="auto"/>
        </w:rPr>
      </w:pPr>
    </w:p>
    <w:p>
      <w:pPr>
        <w:ind w:left="660" w:hanging="328"/>
        <w:spacing w:after="0" w:line="29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Phase 3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6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some cases, the FDA may approve a BLA for a product but require the sponsor to conduct additional clinical trials to further assess the product’s safety and effectiveness after licensure.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95" w:lineRule="exact"/>
        <w:rPr>
          <w:sz w:val="20"/>
          <w:szCs w:val="20"/>
          <w:color w:val="auto"/>
        </w:rPr>
      </w:pPr>
    </w:p>
    <w:p>
      <w:pPr>
        <w:ind w:right="1120" w:firstLine="648"/>
        <w:spacing w:after="0" w:line="277" w:lineRule="auto"/>
        <w:rPr>
          <w:sz w:val="20"/>
          <w:szCs w:val="20"/>
          <w:color w:val="auto"/>
        </w:rPr>
      </w:pPr>
      <w:r>
        <w:rPr>
          <w:rFonts w:ascii="Arial" w:cs="Arial" w:eastAsia="Arial" w:hAnsi="Arial"/>
          <w:sz w:val="18"/>
          <w:szCs w:val="18"/>
          <w:color w:val="auto"/>
        </w:rPr>
        <w:t>Information about applicable clinical trials must be submitted within specific timeframes to the NIH for public dissemination on its ClinicalTrials.gov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cGMP Requirements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 BLA</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and proposed labeling as well as payment of a user fee. Under federal law, the submission of most BLAs is subject to an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29" w:name="page30"/>
    <w:bookmarkEnd w:id="29"/>
    <w:p>
      <w:pPr>
        <w:ind w:firstLine="648"/>
        <w:spacing w:after="0" w:line="254"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or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w:t>
      </w:r>
    </w:p>
    <w:p>
      <w:pPr>
        <w:spacing w:after="0" w:line="17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1"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Programs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0" w:name="page31"/>
    <w:bookmarkEnd w:id="30"/>
    <w:p>
      <w:pPr>
        <w:ind w:right="580" w:firstLine="648"/>
        <w:spacing w:after="0" w:line="342" w:lineRule="auto"/>
        <w:rPr>
          <w:sz w:val="20"/>
          <w:szCs w:val="20"/>
          <w:color w:val="auto"/>
        </w:rPr>
      </w:pPr>
      <w:r>
        <w:rPr>
          <w:rFonts w:ascii="Arial" w:cs="Arial" w:eastAsia="Arial" w:hAnsi="Arial"/>
          <w:sz w:val="16"/>
          <w:szCs w:val="16"/>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124" w:lineRule="exact"/>
        <w:rPr>
          <w:sz w:val="20"/>
          <w:szCs w:val="20"/>
          <w:color w:val="auto"/>
        </w:rPr>
      </w:pPr>
    </w:p>
    <w:p>
      <w:pPr>
        <w:ind w:left="660" w:right="4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Breakthrough therapy designation. 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176" w:lineRule="exact"/>
        <w:rPr>
          <w:rFonts w:ascii="Arial" w:cs="Arial" w:eastAsia="Arial" w:hAnsi="Arial"/>
          <w:sz w:val="17"/>
          <w:szCs w:val="17"/>
          <w:color w:val="auto"/>
        </w:rPr>
      </w:pPr>
    </w:p>
    <w:p>
      <w:pPr>
        <w:ind w:left="660" w:right="18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Priority review. A product candidate is eligible for priority review if it treats a serious condition and, if approved, it would be a significant improvement in the safety or effectiveness of the treatment, diagnosis or prevention compared to marketed products. The FDA aims to complete its review of priority review applications within six months as opposed to 10 months for standard review.</w:t>
      </w:r>
    </w:p>
    <w:p>
      <w:pPr>
        <w:spacing w:after="0" w:line="165" w:lineRule="exact"/>
        <w:rPr>
          <w:rFonts w:ascii="Arial" w:cs="Arial" w:eastAsia="Arial" w:hAnsi="Arial"/>
          <w:sz w:val="17"/>
          <w:szCs w:val="17"/>
          <w:color w:val="auto"/>
        </w:rPr>
      </w:pPr>
    </w:p>
    <w:p>
      <w:pPr>
        <w:ind w:left="660" w:right="160" w:hanging="328"/>
        <w:spacing w:after="0" w:line="27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Accelerated approval. Drug or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178" w:lineRule="exact"/>
        <w:rPr>
          <w:rFonts w:ascii="Arial" w:cs="Arial" w:eastAsia="Arial" w:hAnsi="Arial"/>
          <w:sz w:val="17"/>
          <w:szCs w:val="17"/>
          <w:color w:val="auto"/>
        </w:rPr>
      </w:pPr>
    </w:p>
    <w:p>
      <w:pPr>
        <w:ind w:left="660" w:right="100" w:hanging="328"/>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Regenerative advanced therapy. With passage of the 21st Century Cures Act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6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None of these expedited programs change the standards for approval but they may help expedite the development or approval process of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1" w:name="page32"/>
    <w:bookmarkEnd w:id="31"/>
    <w:p>
      <w:pPr>
        <w:ind w:right="80" w:firstLine="648"/>
        <w:spacing w:after="0" w:line="275"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judgment, drug manufacturers are prohibited from soliciting, encouraging or promoting unapproved uses of a product. The FDA and other agencies actively enforce the laws and regulations prohibiting the promotion of off-label uses, and a company that is found to have improperly promoted off-label uses may be subject to significant liability.</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European Union</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Clinical Trials Directive 2001/20/EC and the Directive 2005/28/EC on GCP, a system for the approval of clinical trials in the European Union was implemented through national legislation of the member states. Under this system, an applicant must obtain approval from the competent national authority of a European Union member state in which the clinical trial is to be conducted, or in multiple member states if the clinical trial is to be conducted in a number of member states. Furthermore, the applicant may only start a clinical trial at a specific site after the competent ethics committee has issued a favorable opinion.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9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April 2014, the European Union adopted a new Clinical Trials Regulation (EU) No 536/2014, which became effective on January 31, 2022. It overhauled the current system of approvals for clinical trials in the European Union. Specifically, the new legislation, which is directly applicable in all member states, is aimed at simplifying and streamlining the approval of clinical trials in the European Union. For instance, the new Clinical Trials Regulation provides for a streamlined application procedure via a single-entry point, the Clinical Trials Information System (“CTIS”), and strictly defined deadlines for the assessment of clinical trial applications.</w:t>
      </w:r>
    </w:p>
    <w:p>
      <w:pPr>
        <w:spacing w:after="0" w:line="188"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conduct of all clinical trials commenced in the European Union prior to January 31, 2022 will continue to be bound by the previously applicable provisions. However, if a clinical trial continues for more than three years after January 31, 2022, the Clinical Trials Regulation will at that time begin to apply to the clinical trial. In addition, through January 31, 2023, clinical trial sponsors may apply for a new trial authorization under the previously applicable provisions (posting clinical trial information at the EudraCT website) or the Clinical Trials Regulation (posting clinical trial information at CTIS website), at the sponsor’s choice. After that date, new trial authorizations must be applied for under the Clinical Trials Regulation and utilize CTIS.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 approved Pediatric Investigation Plan (“PIP”) covering all subsets of the pediatric population, unless the EMA has granted a product specific waiver, class waiver, or a deferral for one or more of the measures included in the PIP.</w:t>
      </w:r>
    </w:p>
    <w:p>
      <w:pPr>
        <w:spacing w:after="0" w:line="164"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ind w:right="120" w:firstLine="648"/>
        <w:spacing w:after="0" w:line="254" w:lineRule="auto"/>
        <w:rPr>
          <w:sz w:val="20"/>
          <w:szCs w:val="20"/>
          <w:color w:val="auto"/>
        </w:rPr>
      </w:pPr>
      <w:r>
        <w:rPr>
          <w:rFonts w:ascii="Arial" w:cs="Arial" w:eastAsia="Arial" w:hAnsi="Arial"/>
          <w:sz w:val="18"/>
          <w:szCs w:val="18"/>
          <w:color w:val="auto"/>
        </w:rPr>
        <w:t>Under the centralized procedure,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any companion diagnostics.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ind w:right="80" w:firstLine="648"/>
        <w:spacing w:after="0" w:line="254"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If we obtain approval in the future to market in the United States any product candidates we may develop,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cost-effectiveness of any product candidates we may develop to other available therapies. The conduct of such a clinical trial could be expensive and result in delays in our commercialization efforts.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they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Law and Regulation</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171" w:lineRule="exact"/>
        <w:rPr>
          <w:sz w:val="20"/>
          <w:szCs w:val="20"/>
          <w:color w:val="auto"/>
        </w:rPr>
      </w:pPr>
    </w:p>
    <w:p>
      <w:pPr>
        <w:ind w:left="660" w:right="30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86"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FCPA, which prohibits companies and their intermediaries from making, or offering or promising to make improper payments to non-U.S. officials for the purpose of obtaining or retaining business or otherwise seeking favorable treatment; and</w:t>
      </w:r>
    </w:p>
    <w:p>
      <w:pPr>
        <w:spacing w:after="0" w:line="170" w:lineRule="exact"/>
        <w:rPr>
          <w:rFonts w:ascii="Arial" w:cs="Arial" w:eastAsia="Arial" w:hAnsi="Arial"/>
          <w:sz w:val="18"/>
          <w:szCs w:val="18"/>
          <w:color w:val="auto"/>
        </w:rPr>
      </w:pPr>
    </w:p>
    <w:p>
      <w:pPr>
        <w:ind w:left="660" w:right="260" w:hanging="328"/>
        <w:spacing w:after="0" w:line="27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which requires certain manufacturers of drugs, devices, biologics and medical supplies to report annually to the CMS within the U.S. Department of Health and Human Services, information related to payments and other transfers of value made by that entity to physicians, as defined by such law, and teaching hospitals, as well as ownership and investment interests held by physicians and their immediate family members.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 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healthcare providers or marketing expenditures. In addition, certain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the federal Health Insurance Portability and Accountability Act of 1996 (“HIPAA”), thus complicating compliance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As of December 31, 2021, we employed 25 full-time employees. The 25 full-time employees were engaged in research and development, operations, finance, and business development. Nine employees held Ph.D. degrees; two held M.D. degrees; and one held a VMD. Our employees are not represented by labor unions or covered under any collective bargaining agreements. We consider our relationship with our employees to be good.</w:t>
      </w:r>
    </w:p>
    <w:p>
      <w:pPr>
        <w:spacing w:after="0" w:line="1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We lease approximately 13,392 square feet of space for our headquarters in Redwood City, California under an agreement that expires in August 2026. Thereafter, at our option, we may extend the term for an additional five years to August 2031. We believe that our existing facilities are adequate to meet our current needs, and that suitable additional alternative spaces will be available in the future on commercially reasonable terms.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business exposes us to potential liability including, but not limited to, potential liability for (i) non-compliance with applicable laws and regulations, and (ii) employment-related claims. In certain circumstances, we may also be liable for the acts or omissions of others, such as suppliers of goods or services.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36" w:name="page37"/>
    <w:bookmarkEnd w:id="36"/>
    <w:p>
      <w:pPr>
        <w:jc w:val="both"/>
        <w:ind w:right="320" w:firstLine="648"/>
        <w:spacing w:after="0" w:line="279" w:lineRule="auto"/>
        <w:rPr>
          <w:sz w:val="20"/>
          <w:szCs w:val="20"/>
          <w:color w:val="auto"/>
        </w:rPr>
      </w:pPr>
      <w:r>
        <w:rPr>
          <w:rFonts w:ascii="Arial" w:cs="Arial" w:eastAsia="Arial" w:hAnsi="Arial"/>
          <w:sz w:val="17"/>
          <w:szCs w:val="17"/>
          <w:color w:val="auto"/>
        </w:rPr>
        <w:t>We attempt to manage our potential liability to third parties through contractual protection (such as indemnification and limitation of liability provisions) in our contracts and through insurance. The contractual indemnification provisions vary in scope and generally do not protect us against all potential liabilities.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currently maintain insurance coverage with limits we believe to be appropriate. The coverage provided by such insurance may not be adequate for all claims made, and such claims may be contested by applicable insurance carriers.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were organized as a corporation under the laws of the State of Delaware on August 13, 2019 under the name “Amplitude Healthcare Acquisition Corporation”. On September 24, 2021, we consummated the previously announced Business Combination (pursuant to the Business Combination Agreement, dated May 5, 2021, by and among AMHC, Merger Sub and Old Jasper). Pursuant to the terms of the Business Combination Agreement, a Business Combination or Reverse Recapitalization for accounting purposes between AMHC and Old Jasper was effected through the merger of Merger Sub with and into Old Jasper with Old Jasper surviving as AMHC’s wholly-owned subsidiary. In connection with the Business Combination, AMHC changed its name from Amplitude Healthcare Acquisition Corporation to Jasper Therapeutics, Inc.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Jasper. We maintain an Internet website at www.jaspertherapeutics.com.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before deciding whether to invest in our common stock.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below are not the only risks and uncertainties that we face. Additional risks and uncertainties not presently known to us or that we currently believe to be immaterial may become material and adversely affect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 Summary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and should be carefully considered, together with other information in this Annual Report on Form 10-K and our other filings with the SEC before making an investment decision regarding our common stock.</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Our Financial Position and Need for Additional Capital, including, among others, that:</w:t>
      </w:r>
    </w:p>
    <w:p>
      <w:pPr>
        <w:spacing w:after="0" w:line="225" w:lineRule="exact"/>
        <w:rPr>
          <w:rFonts w:ascii="Arial" w:cs="Arial" w:eastAsia="Arial" w:hAnsi="Arial"/>
          <w:sz w:val="18"/>
          <w:szCs w:val="18"/>
          <w:color w:val="auto"/>
        </w:rPr>
      </w:pPr>
    </w:p>
    <w:p>
      <w:pPr>
        <w:ind w:left="1300" w:right="5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have incurred significant net losses and negative operating cash flows since our inception. We expect to incur net losses for the foreseeable future and may never achieve or maintain profitability.</w:t>
      </w:r>
    </w:p>
    <w:p>
      <w:pPr>
        <w:spacing w:after="0" w:line="170" w:lineRule="exact"/>
        <w:rPr>
          <w:rFonts w:ascii="Arial" w:cs="Arial" w:eastAsia="Arial" w:hAnsi="Arial"/>
          <w:sz w:val="18"/>
          <w:szCs w:val="18"/>
          <w:color w:val="auto"/>
        </w:rPr>
      </w:pPr>
    </w:p>
    <w:p>
      <w:pPr>
        <w:ind w:left="1300" w:right="56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170" w:lineRule="exact"/>
        <w:rPr>
          <w:rFonts w:ascii="Arial" w:cs="Arial" w:eastAsia="Arial" w:hAnsi="Arial"/>
          <w:sz w:val="18"/>
          <w:szCs w:val="18"/>
          <w:color w:val="auto"/>
        </w:rPr>
      </w:pPr>
    </w:p>
    <w:p>
      <w:pPr>
        <w:ind w:left="1300" w:right="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a result of our history of losses and negative cash flows from operations, our consolidated financial statements contain a statement regarding a substantial doubt about our ability to continue as a going concern.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Discovery, Development, Manufacturing and Commercialization, including, among others, that:</w:t>
      </w:r>
    </w:p>
    <w:p>
      <w:pPr>
        <w:spacing w:after="0" w:line="225" w:lineRule="exact"/>
        <w:rPr>
          <w:rFonts w:ascii="Arial" w:cs="Arial" w:eastAsia="Arial" w:hAnsi="Arial"/>
          <w:sz w:val="18"/>
          <w:szCs w:val="18"/>
          <w:color w:val="auto"/>
        </w:rPr>
      </w:pPr>
    </w:p>
    <w:p>
      <w:pPr>
        <w:ind w:left="1300" w:right="5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most advanced product candidate, JSP191. If we are unable to complete development of, obtain approval for and commercialize our product candidates, including JSP191, in a timely manner or at all, our business will be harmed.</w:t>
      </w:r>
    </w:p>
    <w:p>
      <w:pPr>
        <w:spacing w:after="0" w:line="183" w:lineRule="exact"/>
        <w:rPr>
          <w:rFonts w:ascii="Arial" w:cs="Arial" w:eastAsia="Arial" w:hAnsi="Arial"/>
          <w:sz w:val="18"/>
          <w:szCs w:val="18"/>
          <w:color w:val="auto"/>
        </w:rPr>
      </w:pPr>
    </w:p>
    <w:p>
      <w:pPr>
        <w:ind w:left="1300" w:right="66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develop and commercialize additional product candidates. If these efforts are unsuccessful, we may never become a commercial stage company or generate any revenues.</w:t>
      </w:r>
    </w:p>
    <w:p>
      <w:pPr>
        <w:spacing w:after="0" w:line="170" w:lineRule="exact"/>
        <w:rPr>
          <w:rFonts w:ascii="Arial" w:cs="Arial" w:eastAsia="Arial" w:hAnsi="Arial"/>
          <w:sz w:val="18"/>
          <w:szCs w:val="18"/>
          <w:color w:val="auto"/>
        </w:rPr>
      </w:pPr>
    </w:p>
    <w:p>
      <w:pPr>
        <w:ind w:left="1300" w:right="52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eHSCs are a novel technology that is not yet clinically validated for human use. The approaches we are taking to create eHSCs are unproven and may never lead to marketable products.</w:t>
      </w:r>
    </w:p>
    <w:p>
      <w:pPr>
        <w:spacing w:after="0" w:line="170" w:lineRule="exact"/>
        <w:rPr>
          <w:rFonts w:ascii="Arial" w:cs="Arial" w:eastAsia="Arial" w:hAnsi="Arial"/>
          <w:sz w:val="18"/>
          <w:szCs w:val="18"/>
          <w:color w:val="auto"/>
        </w:rPr>
      </w:pPr>
    </w:p>
    <w:p>
      <w:pPr>
        <w:ind w:left="1300" w:right="16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any of our product candidates cause serious adverse events, undesirable side effects or unexpected characteristics, such events, side effects or characteristics could delay or prevent regulatory approval of the product candidate, limit our commercial potential or result in significant negative consequences following any potential marketing approval.</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8" w:name="page39"/>
    <w:bookmarkEnd w:id="38"/>
    <w:p>
      <w:pPr>
        <w:ind w:left="644" w:right="60" w:hanging="320"/>
        <w:spacing w:after="0" w:line="263" w:lineRule="auto"/>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spacing w:after="0" w:line="183" w:lineRule="exact"/>
        <w:rPr>
          <w:rFonts w:ascii="Arial" w:cs="Arial" w:eastAsia="Arial" w:hAnsi="Arial"/>
          <w:sz w:val="18"/>
          <w:szCs w:val="18"/>
          <w:color w:val="auto"/>
        </w:rPr>
      </w:pPr>
    </w:p>
    <w:p>
      <w:pPr>
        <w:ind w:left="644" w:right="320" w:hanging="320"/>
        <w:spacing w:after="0" w:line="277" w:lineRule="auto"/>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have never obtained regulatory approval for a drug, may never receive regulatory approval for any of our product candidates, and may therefore never generate revenues from product sales.</w:t>
      </w:r>
    </w:p>
    <w:p>
      <w:pPr>
        <w:spacing w:after="0" w:line="170" w:lineRule="exact"/>
        <w:rPr>
          <w:rFonts w:ascii="Arial" w:cs="Arial" w:eastAsia="Arial" w:hAnsi="Arial"/>
          <w:sz w:val="18"/>
          <w:szCs w:val="18"/>
          <w:color w:val="auto"/>
        </w:rPr>
      </w:pPr>
    </w:p>
    <w:p>
      <w:pPr>
        <w:ind w:left="644" w:right="220" w:hanging="320"/>
        <w:spacing w:after="0" w:line="286" w:lineRule="auto"/>
        <w:tabs>
          <w:tab w:leader="none" w:pos="6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65" w:lineRule="exact"/>
        <w:rPr>
          <w:rFonts w:ascii="Arial" w:cs="Arial" w:eastAsia="Arial" w:hAnsi="Arial"/>
          <w:sz w:val="17"/>
          <w:szCs w:val="17"/>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Regulatory Review, including, among others, that:</w:t>
      </w:r>
    </w:p>
    <w:p>
      <w:pPr>
        <w:spacing w:after="0" w:line="225" w:lineRule="exact"/>
        <w:rPr>
          <w:rFonts w:ascii="Arial" w:cs="Arial" w:eastAsia="Arial" w:hAnsi="Arial"/>
          <w:sz w:val="18"/>
          <w:szCs w:val="18"/>
          <w:color w:val="auto"/>
        </w:rPr>
      </w:pPr>
    </w:p>
    <w:p>
      <w:pPr>
        <w:ind w:left="644" w:right="360" w:hanging="320"/>
        <w:spacing w:after="0" w:line="263" w:lineRule="auto"/>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83" w:lineRule="exact"/>
        <w:rPr>
          <w:rFonts w:ascii="Arial" w:cs="Arial" w:eastAsia="Arial" w:hAnsi="Arial"/>
          <w:sz w:val="18"/>
          <w:szCs w:val="18"/>
          <w:color w:val="auto"/>
        </w:rPr>
      </w:pPr>
    </w:p>
    <w:p>
      <w:pPr>
        <w:ind w:left="644" w:right="100" w:hanging="320"/>
        <w:spacing w:after="0" w:line="277" w:lineRule="auto"/>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Stem cell transplant is a high-risk procedure with curative potential that may result in complications or adverse events for patients in our clinical trials or for patients that use any of our product candidates, if approved.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Our Relationships with Third Parties, including, among others, that:</w:t>
      </w:r>
    </w:p>
    <w:p>
      <w:pPr>
        <w:spacing w:after="0" w:line="225" w:lineRule="exact"/>
        <w:rPr>
          <w:rFonts w:ascii="Arial" w:cs="Arial" w:eastAsia="Arial" w:hAnsi="Arial"/>
          <w:sz w:val="18"/>
          <w:szCs w:val="18"/>
          <w:color w:val="auto"/>
        </w:rPr>
      </w:pPr>
    </w:p>
    <w:p>
      <w:pPr>
        <w:ind w:left="644" w:right="220" w:hanging="320"/>
        <w:spacing w:after="0" w:line="311" w:lineRule="auto"/>
        <w:tabs>
          <w:tab w:leader="none" w:pos="6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We rely on third parties to conduct our preclinical and clinical trials and will rely on them to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48" w:lineRule="exact"/>
        <w:rPr>
          <w:rFonts w:ascii="Arial" w:cs="Arial" w:eastAsia="Arial" w:hAnsi="Arial"/>
          <w:sz w:val="16"/>
          <w:szCs w:val="16"/>
          <w:color w:val="auto"/>
        </w:rPr>
      </w:pPr>
    </w:p>
    <w:p>
      <w:pPr>
        <w:ind w:left="644" w:hanging="320"/>
        <w:spacing w:after="0" w:line="263" w:lineRule="auto"/>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currently rely on a single manufacturer for our clinical supply of our product candidates. In the event of a loss of this manufacturer, or a failure by such manufacturer to comply with the U.S. Food and Drug Administration (“FDA”) regulations, we may not be able to find an alternative source on commercially reasonable terms, or at all.</w:t>
      </w:r>
    </w:p>
    <w:p>
      <w:pPr>
        <w:spacing w:after="0" w:line="183" w:lineRule="exact"/>
        <w:rPr>
          <w:rFonts w:ascii="Arial" w:cs="Arial" w:eastAsia="Arial" w:hAnsi="Arial"/>
          <w:sz w:val="18"/>
          <w:szCs w:val="18"/>
          <w:color w:val="auto"/>
        </w:rPr>
      </w:pPr>
    </w:p>
    <w:p>
      <w:pPr>
        <w:ind w:left="324" w:hanging="324"/>
        <w:spacing w:after="0"/>
        <w:tabs>
          <w:tab w:leader="none" w:pos="3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Our Intellectual Property, including, among others, that:</w:t>
      </w:r>
    </w:p>
    <w:p>
      <w:pPr>
        <w:spacing w:after="0" w:line="225" w:lineRule="exact"/>
        <w:rPr>
          <w:rFonts w:ascii="Arial" w:cs="Arial" w:eastAsia="Arial" w:hAnsi="Arial"/>
          <w:sz w:val="18"/>
          <w:szCs w:val="18"/>
          <w:color w:val="auto"/>
        </w:rPr>
      </w:pPr>
    </w:p>
    <w:p>
      <w:pPr>
        <w:ind w:left="644" w:right="180" w:hanging="320"/>
        <w:spacing w:after="0" w:line="277" w:lineRule="auto"/>
        <w:tabs>
          <w:tab w:leader="none" w:pos="6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are highly dependent on intellectual property licensed from third parties, and termination of any of these licenses could result in the loss of significant rights, which would harm our business.</w:t>
      </w:r>
    </w:p>
    <w:p>
      <w:pPr>
        <w:spacing w:after="0" w:line="170" w:lineRule="exact"/>
        <w:rPr>
          <w:rFonts w:ascii="Arial" w:cs="Arial" w:eastAsia="Arial" w:hAnsi="Arial"/>
          <w:sz w:val="18"/>
          <w:szCs w:val="18"/>
          <w:color w:val="auto"/>
        </w:rPr>
      </w:pPr>
    </w:p>
    <w:p>
      <w:pPr>
        <w:ind w:left="644" w:hanging="320"/>
        <w:spacing w:after="0"/>
        <w:tabs>
          <w:tab w:leader="none" w:pos="644" w:val="left"/>
        </w:tabs>
        <w:numPr>
          <w:ilvl w:val="1"/>
          <w:numId w:val="15"/>
        </w:numPr>
        <w:rPr>
          <w:rFonts w:ascii="Arial" w:cs="Arial" w:eastAsia="Arial" w:hAnsi="Arial"/>
          <w:sz w:val="17"/>
          <w:szCs w:val="17"/>
          <w:color w:val="auto"/>
        </w:rPr>
      </w:pPr>
      <w:r>
        <w:rPr>
          <w:rFonts w:ascii="Arial" w:cs="Arial" w:eastAsia="Arial" w:hAnsi="Arial"/>
          <w:sz w:val="17"/>
          <w:szCs w:val="17"/>
          <w:color w:val="auto"/>
        </w:rPr>
        <w:t>Our commercial success depends on our ability to obtain, maintain and protect our intellectual property and proprietary technology.</w:t>
      </w:r>
    </w:p>
    <w:p>
      <w:pPr>
        <w:spacing w:after="0" w:line="236" w:lineRule="exact"/>
        <w:rPr>
          <w:rFonts w:ascii="Arial" w:cs="Arial" w:eastAsia="Arial" w:hAnsi="Arial"/>
          <w:sz w:val="17"/>
          <w:szCs w:val="17"/>
          <w:color w:val="auto"/>
        </w:rPr>
      </w:pPr>
    </w:p>
    <w:p>
      <w:pPr>
        <w:ind w:left="324" w:right="140" w:hanging="324"/>
        <w:spacing w:after="0" w:line="342" w:lineRule="auto"/>
        <w:tabs>
          <w:tab w:leader="none" w:pos="3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Risks Related to Ownership of Our Common Stock and Warrants, including, among others, that we will incur significant increased expenses and administrative burdens as a public company, which could negatively impact our business, financial condition and results of operations.</w:t>
      </w:r>
    </w:p>
    <w:p>
      <w:pPr>
        <w:spacing w:after="0" w:line="34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88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and negative operating cash flows since our inception. We expect to incur net losses for the foreseeable future and may never achieve or maintain profitability.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 clinical-stage biotechnology company dedicated to enabling cures through hematopoietic stem cell therapy and have a limited operating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history. Investment in biopharmaceutical product development is highly speculative because it entails substantial upfront capital expenditures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risk that any potential product candidate will fail to demonstrate adequate effect or an acceptable safety profile, gain regulatory approval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commercially viable. We have no products approved for commercial sale and have not generated any revenue from product sales to date, and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continue to incur significant research and development and other expenses related to our ongoing operations. As a result, we are not profitable and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incurred losses and negative operating cash flows in each period since our inception. For the years ended December 31, 2021 and 2020, we reported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of $30.6 million and $31.7 million, respectively. For the years ended December 31, 2021 and 2020, we reported negative operating cash flows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$33.7 million and $18.3 million, respectively. As of December 31, 2021, we had an accumulated deficit of $67.5 million. We have devoted all of our efforts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organizing and staffing our company, business and scientific planning, raising capital, acquiring and developing technology, identifying potential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undertaking research and preclinical studies of potential product candidates, developing manufacturing capabilities and evaluating a clinical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path for our pipeline programs. We expect to continue to incur significant expenses and increasing operating losses for the foreseeable future, and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 these losses to increase as we continue our research and development of, and seek regulatory approvals for, our product candidates.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net losses we incur may fluctuate significantly from quarter to quarter. We anticipate that our expenses will increase substantially if and as we:</w:t>
      </w:r>
    </w:p>
    <w:p>
      <w:pPr>
        <w:spacing w:after="0" w:line="248" w:lineRule="exact"/>
        <w:rPr>
          <w:sz w:val="20"/>
          <w:szCs w:val="20"/>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open label Phase 1/2 clinical trial for JSP191 for SCID, and the open label Phase 1 clinical trial for JSP191 in patients with MDS or AML;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clinical development of JSP191 in autoimmune diseases and other indications;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current research programs and development of other potential product candidates from our current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research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other product candidates we identify and develop;</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candidates for which we may obtain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any approved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further develop our genome engineering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additional research and development and clinical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commercial personnel and advance market access and reimbursement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or in-license manufacturing and distribution technologies;</w:t>
      </w:r>
    </w:p>
    <w:p>
      <w:pPr>
        <w:spacing w:after="0" w:line="225" w:lineRule="exact"/>
        <w:rPr>
          <w:rFonts w:ascii="Arial" w:cs="Arial" w:eastAsia="Arial" w:hAnsi="Arial"/>
          <w:sz w:val="18"/>
          <w:szCs w:val="18"/>
          <w:color w:val="auto"/>
        </w:rPr>
      </w:pPr>
    </w:p>
    <w:p>
      <w:pPr>
        <w:ind w:left="660" w:right="4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should we decide to do so and receive approval for any of our product candidates, build and maintain, or purchase and validate, commercial-scale manufacturing facilities designed to comply with current Good Manufacturing Practices (“cGMP”) requirements;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ind w:right="160" w:firstLine="648"/>
        <w:spacing w:after="0" w:line="255" w:lineRule="auto"/>
        <w:rPr>
          <w:sz w:val="20"/>
          <w:szCs w:val="20"/>
          <w:color w:val="auto"/>
        </w:rPr>
      </w:pPr>
      <w:r>
        <w:rPr>
          <w:rFonts w:ascii="Arial" w:cs="Arial" w:eastAsia="Arial" w:hAnsi="Arial"/>
          <w:sz w:val="18"/>
          <w:szCs w:val="18"/>
          <w:color w:val="auto"/>
        </w:rPr>
        <w:t>As a company, we have not completed clinical development of any product candidate and expect that it will be several years, if ever, before we have a product candidate ready for commercialization. To become and remain profitable, we must develop and, either directly or through collaborators, eventually commercialize a product or products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products for which we may obtain marketing approval and satisfying any post-marketing requirements.</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may never succeed in these activities and, even if we do, may never generate revenues that are significant or large enough to achieve profitability. Our product candidates and research programs are currently only in the early stages of development. Because of the numerous risks and uncertainties associated with developing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16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will need substantial additional funding, which may not be available on acceptable terms, or at all. If we are unable to raise capital when needed, we would be forced to delay, reduce or eliminate our research and product development programs or future commercialization efforts.</w:t>
      </w:r>
    </w:p>
    <w:p>
      <w:pPr>
        <w:spacing w:after="0" w:line="12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expect to spend substantial amounts of cash to conduct further research and development and preclinical testing and clinical trials of our product candidates, to seek regulatory approvals for our product candidates and to launch and commercialize any product candidates for which we receive regulatory approval. Furthermore, we expect to incur additional costs associated with operating as a public company. Accordingly, we will need to obtain substantial additional funding in order to maintain our continuing operations. If we are unable to raise capital when needed or on attractive terms, we would be forced to delay, reduce or eliminate our research and product development programs or future commercialization efforts. As of December 31, 2021, our cash and cash equivalents were $84.7 million and we had an accumulated deficit of $67.5 million. Our future financing requirements will depend on many factors, including:</w:t>
      </w:r>
    </w:p>
    <w:p>
      <w:pPr>
        <w:spacing w:after="0" w:line="195" w:lineRule="exact"/>
        <w:rPr>
          <w:sz w:val="20"/>
          <w:szCs w:val="20"/>
          <w:color w:val="auto"/>
        </w:rPr>
      </w:pPr>
    </w:p>
    <w:p>
      <w:pPr>
        <w:ind w:left="660" w:right="3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including any COVID-19-related delays or other effects on our development programs;</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continuing to build our technology platform, including in-licensing additional genome engineering technologies for use in developing our product candidates;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developing, acquiring or in-licensing additional targeted therapies to use in combination with JSP191 and other product candidates we may develop;</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 in the United States and internationally;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develop or may in-license;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agreements we enter into;</w:t>
      </w:r>
    </w:p>
    <w:p>
      <w:pPr>
        <w:spacing w:after="0" w:line="248" w:lineRule="exact"/>
        <w:rPr>
          <w:rFonts w:ascii="Arial" w:cs="Arial" w:eastAsia="Arial" w:hAnsi="Arial"/>
          <w:sz w:val="16"/>
          <w:szCs w:val="16"/>
          <w:color w:val="auto"/>
        </w:rPr>
      </w:pPr>
    </w:p>
    <w:p>
      <w:pPr>
        <w:ind w:left="660" w:right="1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the European Medical Agency (the “EMA”) and other comparable foreign regulatory authorities;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outsourced manufacturing activities;</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ind w:firstLine="648"/>
        <w:spacing w:after="0" w:line="257" w:lineRule="auto"/>
        <w:rPr>
          <w:sz w:val="20"/>
          <w:szCs w:val="20"/>
          <w:color w:val="auto"/>
        </w:rPr>
      </w:pPr>
      <w:r>
        <w:rPr>
          <w:rFonts w:ascii="Arial" w:cs="Arial" w:eastAsia="Arial" w:hAnsi="Arial"/>
          <w:sz w:val="18"/>
          <w:szCs w:val="18"/>
          <w:color w:val="auto"/>
        </w:rPr>
        <w:t>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Any additional fundraising efforts may divert our management from our day-to-day activities, which may adversely affect our ability to develop and commercialize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as AMHC was a shell company prior to the completion of the Business Combination, we are currently ineligible to new short form registration statements on Form S-3 and will not be eligible to file such a registration statement until, among other things, at least 12 calendar months have lapsed since September 29, 2021, the date we filed a Current Report on Form 8-K disclosing that we ceased to be a shell company. Our inability to use Form S-3 may significantly impair our ability to raise necessary capital to run our operations and progress our product development programs.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Disclosing a public offering prior to the formal commencement of an offering may result in downward pressure on our stock price. If we are unable to raise capital through a registered offering, we would be required to conduct our equity financing transactions on a private placement basis, which may be subject to pricing, size and other limitations imposed under the rules of The Nasdaq Stock Market LLC, or seek other sources of capital.</w:t>
      </w:r>
    </w:p>
    <w:p>
      <w:pPr>
        <w:spacing w:after="0" w:line="16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a result of our recurring losses from operations and recurring negative cash flows from operations, our management concluded that there is a substantial doubt about our ability to maintain liquidity sufficient to operate our business effectively, which raise substantial doubt about our ability to continue as a going concern. See the risk factor below titled, “</w:t>
      </w:r>
      <w:r>
        <w:rPr>
          <w:rFonts w:ascii="Arial" w:cs="Arial" w:eastAsia="Arial" w:hAnsi="Arial"/>
          <w:sz w:val="16"/>
          <w:szCs w:val="16"/>
          <w:i w:val="1"/>
          <w:iCs w:val="1"/>
          <w:color w:val="auto"/>
        </w:rPr>
        <w:t>As a result of our history of losses and negative cash flows from operations, our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contain a statement regarding a substantial doubt about our ability to continue as a going concern.</w:t>
      </w:r>
      <w:r>
        <w:rPr>
          <w:rFonts w:ascii="Arial" w:cs="Arial" w:eastAsia="Arial" w:hAnsi="Arial"/>
          <w:sz w:val="16"/>
          <w:szCs w:val="16"/>
          <w:color w:val="auto"/>
        </w:rPr>
        <w:t>” Based on our current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plan, we will need to raise additional financing to continue our products’ development for the foreseeable future, and until we become profitable. If we are unable to obtain funding when and as needed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a clinical stage company. Old Jasper was founded and commenced operations in March 2018. Our operations to date have been limited to organizing and staffing our company, business planning, raising capital, acquiring and developing our technology, identifying potential product candidates and undertaking preclinical studies and clinical trials. Although we have initiated clinical trials for JSP191, we have not yet demonstrated an ability to successfully complete clinical trials of our product candidates; obtained marketing approvals; manufactured a commercial-scale medicine or therapy, or arranged for a third party to do so on our behalf; or conducted sales and marketing activities necessary for successful commercialization. Typically, it takes about 10 to 15 years to develop a new medicine from the time it is discovered to when it is available for treating patients. Consequently, any predictions we make about our future success or viability may not be as accurate as they could be if we had a longer operating history.</w:t>
      </w:r>
    </w:p>
    <w:p>
      <w:pPr>
        <w:spacing w:after="0" w:line="16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collaborators, to successfully complete the development of, and obtain the regulatory approvals necessary to commercialize, product candidates. We do not anticipate generating revenues from product sales for the next several years, if ever. Our ability to generate future revenue from product sales depends heavily on our, or our future collaborators’, ability to successfully:</w:t>
      </w:r>
    </w:p>
    <w:p>
      <w:pPr>
        <w:spacing w:after="0" w:line="1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identify product candidates and complete research and preclinical and clinical development of any product candidates we may identify;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product candidates for which we complete clinical trials;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regulatory and marketing approval by establishing a sales force, marketing and distribution infrastructure or, alternatively, collaborating with a commercialization partner;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qualify for coverage and adequate reimbursement by government and third-party payors for any product candidates for which we obtain regulatory and marketing approval;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may develop;</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 acceptance of product candidates as viable treatment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 our obligations in such arrangements;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protect, enforce, defend and expand our portfolio of intellectual property rights, including patents, trade secrets and know-how, in the United States and internationally;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avoid and defend against third-party interference, infringement and other intellectual property claims in the United States and internationally;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ind w:right="60" w:firstLine="648"/>
        <w:spacing w:after="0" w:line="286" w:lineRule="auto"/>
        <w:rPr>
          <w:sz w:val="20"/>
          <w:szCs w:val="20"/>
          <w:color w:val="auto"/>
        </w:rPr>
      </w:pPr>
      <w:r>
        <w:rPr>
          <w:rFonts w:ascii="Arial" w:cs="Arial" w:eastAsia="Arial" w:hAnsi="Arial"/>
          <w:sz w:val="17"/>
          <w:szCs w:val="17"/>
          <w:color w:val="auto"/>
        </w:rPr>
        <w:t>Even if one or more of the product candidates we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completing the development of our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As a result of our history of losses and negative cash flows from operations, our consolidated financial statements contain a statement regarding a substantial doubt about our ability to continue as a going concern.</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Our history of operating losses and negative cash flows from operations combined with our anticipated use of cash to fund operations raises substantial doubt about our ability to continue as a going concern beyond the 12-month period from the issuance date of our consolidated financial statements included in Part II, Item 8 of this Annual Report on Form 10-K. Based on our current operating plan, we will need to raise additional financing to continue our products’ development for the foreseeable future, and until we become profitable. Our future viability as an ongoing business is dependent on our ability to generate cash from our operating activities or to raise additional capital to finance our operations.</w:t>
      </w:r>
    </w:p>
    <w:p>
      <w:pPr>
        <w:spacing w:after="0" w:line="17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perception that we might be unable to continue as a going concern may also make it more difficult to obtain financing for the continuation of our operations on terms that are favorable to us, or at all, and could result in the loss of confidence by investors and employees. Our consolidated financial statements do not include any adjustments that might result from the outcome of this uncertainty. If we are unable to continue as a going concern, we may have to liquidate our assets and may receive less than the value at which those assets are carried on our consolidated financial statements, and it is likely that our investors will lose all or a part of their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to offset taxable income or taxes may be limited.</w:t>
      </w:r>
    </w:p>
    <w:p>
      <w:pPr>
        <w:spacing w:after="0" w:line="23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As of December 31, 2021, we had net operating loss carryforwards for federal income tax purposes of $53.1 million that can be carried forward indefinitely. As of December 31, 2021, we had net operating loss carryforwards for state income tax purposes of $45.4 million that begin to expire in 2038. Portions of these net operating loss carryforwards could expire unused and be unavailable to offset future income tax liabilities. Under the legislation enacted in 2017, informally titled the Tax Cuts and Jobs Act (the “Tax Act”), as modified by the Coronavirus Aid, Relief, and Economic Security Act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Our existing net operating loss carryforwards may be subject to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We have completed a Section 382 analysis covering taxable periods from its inception through the year ended December 31, 2021. We experienced an ownership change on November 21, 2019 for both federal and California tax purposes related to its Series A redeemable convertible preferred stock financing. Any net operating loss generated for taxable periods in 2018 and through November 21, 2019 in excess of $2.87 million will be permanently limited for California tax purposes. We reduced our California net operating loss deferred tax assets balance by the permanently limited amount of $0.6 million. There would be no permanent loss of federal net operating loss based on the limits. We experienced an additional ownership change on September 24, 2021. However, we do not expect there are additional tax attributes that will expire unused before the expiration periods. There is a full valuation allowance for net deferred tax assets, including net operating loss carryforwards for the year ended December 31, 2021.</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4" w:name="page45"/>
    <w:bookmarkEnd w:id="44"/>
    <w:p>
      <w:pPr>
        <w:ind w:right="140"/>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by the effects of health pandemics or epidemics, including the current COVID-19 pandemic and future outbreaks of the disease, in regions where we or third parties on which we rely have concentrations of clinical trial sites or other business operations.</w:t>
      </w:r>
    </w:p>
    <w:p>
      <w:pPr>
        <w:spacing w:after="0" w:line="10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current COVID-19 pandemic and future outbreaks of the disease, including any variants thereof. For example, enrollment in clinical trials may be delayed. Although we have reopened our offices and some employees have transitioned back to working on site, there is a lack of uniformity of restrictions and requirements among our clinical trial sites, and future shelter-in-place or similar types of restrictions could be imposed. We are subject to risk of outbreaks at our facilities, and potential exposure to employee claims regarding workplace safety, and unanticipated shutdowns or quarantines could be imposed in the future, which would disrupt our operations. This uncertainty and the evolving nature of policies and restrictions may negatively impact productivity, disrupt our business and further delay clinical programs and timelines, the magnitude of which will depend, in part, on the length and severity of the restrictions and other limitations on our ability to conduct our business in the ordinary course, which could negatively impact our business, operating results and financial condition.</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spread of COVID-19, which has caused a broad impact globally, may affect us economically. While the potential economic impact brought by, and the duration of, the COVID-19 pandemic may be difficult to assess or predict, it has resulted in significant disruption of global financial markets. This disruption, if sustained or recurrent, could make it more difficult for us to access capital, which could in the future negatively affect our liquidity. In addition, a recession or market correction resulting from the spread of COVID-19 or the global impacts thereof could materially affect our business and the value of our common stock. The global COVID-19 pandemic continues to evolve, and its ultimate impact or that of any similar health pandemic or epidemic is highly uncertain. We do not yet know the full extent of potential delays or impacts on our business, our planned and ongoing clinical trials, the hospitals and healthcare systems or the global economy as a whole. These effects could have an adverse impact on our operations, and we will continue to monitor the COVID-19 situation closely.</w:t>
      </w:r>
    </w:p>
    <w:p>
      <w:pPr>
        <w:spacing w:after="0" w:line="174"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Business disruptions caused by natural or man-made disasters, acts of war or other hostilities could seriously harm our future revenues and financial condition and increase our costs and expenses generally.</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corporate headquarters are located in the San Francisco Bay Area, a region known for seismic activity. Our suppliers may also experience a disruption in their business as a result of natural or man-made disasters. A significant natural or man-made disaster, such as an earthquake, prolonged or repeated power outage, hurricane, flood, fire, drought or other extreme weather events and changing weather patterns, which are increasing in frequency due to the impacts of climate change, could severely damage or destroy our headquarters or facilities or the facilities of our manufacturers or suppliers, which could have a material and adverse effect on our business, financial condition and results of operations. In addition, terrorist acts, acts of war or the outbreak of hostilities against the U.S. or other countries globally, could cause damage or disruption to us, our employees, facilities, partners and suppliers, which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Manufacturing and Commercialization</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most advanced product candidate, JSP191. If we are unable to complete development of, obtain approval for and commercialize our product candidates, including JSP191, in a timely manner or at all, our business will be harmed.</w:t>
      </w:r>
    </w:p>
    <w:p>
      <w:pPr>
        <w:spacing w:after="0" w:line="124"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Our future success is dependent on our ability to timely advance and complete clinical trials, obtain marketing approval for and successfully commercialize our product candidates. We are not permitted to market or promote JSP191 or any other product candidate before we receive marketing approval from the FDA and comparable foreign regulatory authorities, and we may never receive such marketing approvals.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225" w:lineRule="exact"/>
        <w:rPr>
          <w:sz w:val="20"/>
          <w:szCs w:val="20"/>
          <w:color w:val="auto"/>
        </w:rPr>
      </w:pPr>
    </w:p>
    <w:p>
      <w:pPr>
        <w:ind w:left="660" w:right="10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acceptance of individual investigational review boards (“IRBs”) and scientific review committees at each clinical trial site as to the adequacy of the preclinical data package to support clinical development of JSP191 and their overall general agreement with the use of JSP191 in the intended patient population in the intended manner;</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clinical investigators to place patients in the clinical trials, and the willingness of patients to enroll in a clinical trial studying a first-in-human cell therapy;</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45" w:name="page46"/>
    <w:bookmarkEnd w:id="45"/>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initiation and successful patient enrollment and completion of additional clinical trials of JSP191 on a timely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frequency and severity of adverse events in the clinical trials;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successful and timely completion of our ongoing Phase 1/2 clinical trial of JSP191 for the treatment of SCID and the ongoing Phase 1 clinical trial of JSP191 for AML or MDS;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and establishing relationships with contract research organizations (“CROs”) and clinical sites for the clinical development of JSP191 both in the United States and internationally;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 completion of toxicology studies, biodistribution studies and minimally efficacious dose studies in animals, where applicable;</w:t>
      </w:r>
    </w:p>
    <w:p>
      <w:pPr>
        <w:spacing w:after="0" w:line="236"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trials, under the FDA’s current Good Clinical Practices (“cGCPs”) and the FDA’s current Good Laboratory Practices;</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investigational new drug (“IND”) applications or Clinical Trial Authorizations that allow commencement of our planned clinical trials or future clinical trials for our product candidates;</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conducted by third parties in hematopoietic stem cell transplant (“HSCT”) if such trials result in changes to the standard of care for HSCT or otherwise cause us to change our clinical trial protocols;</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safety and tolerability profiles that are satisfactory to the FDA, EMA or any comparable foreign regulatory authority for marketing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timely receipt of marketing approvals for our product candidates from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660" w:right="9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supply arrangements with third-party suppliers and manufacturers for clinical development of JSP191;</w:t>
      </w:r>
    </w:p>
    <w:p>
      <w:pPr>
        <w:spacing w:after="0" w:line="170"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maintenance of existing, or the establishment of new, scaled production arrangements with third-party manufacturers to obtain finished products that are appropriate for commercial sale of JSP191, if it is approved;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obtaining and maintaining patent protection, trade secret protection and regulatory exclusivity, both in the United States and internationally;</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coverage and adequate reimbursement from third-party payors for our products, and patients’ willingness to pay out-of-pocket in the absence of such coverage and adequate reimbursement;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with other treatments.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JSP191, which would materially harm our business. If we do not receive marketing approvals for JSP191, we may not be able to continue our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develop and commercialize additional product candidates. If these efforts are unsuccessful, we may never become a commercial stage company or generate any revenues.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additional product candidates based on, or complementary with, our technology platform. While we are currently conducting a Phase 1/2 clinical trial of JSP191 as a conditioning agent prior to allogenic transplant for SCID patients, a Phase 1 clinical trial of JSP191 as a conditioning agent prior to allogenic transplant for patients with AML or MDS, and are planning a Phase 1 clinical trial of JSP191 as a conditioning agent prior to allogenic transplant, all of our other product development programs, including our eHSC program, are still in the research or preclinical stage of development. Our research programs may fail to identify additional product candidates for clinical development for a number of reasons. Our research methodology may be unsuccessful in identifying potential product candidates, our potential product candidates may be shown to have harmful side effects in preclinical in vitro experiments or animal model studies, they may not show promising signals of efficacy in such experiments or studies or they may have other characteristics that may make the product candidates impractical to manufacture, unmarketable or unlikely to receive marketing approval. The historical failure rate for product candidates is high due to risks relating to safety, efficacy, clinical execution, changing standards of medical care and other unpredictable variables. In addition, although we believe our technology platform will position us to rapidly expand our portfolio of product candidates beyond our current product candidates, our ability to expand our portfolio may never materialize.</w:t>
      </w:r>
    </w:p>
    <w:p>
      <w:pPr>
        <w:spacing w:after="0" w:line="1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eHSCs are a novel technology that is not yet clinically validated for human use. The approaches we are taking to create eHSCs are unproven and may never lead to marketable products.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are developing eHSCs for transplant into the human body. Although there have been significant advances in the field of use of RNA or DNA to edit cells ex vivo prior to transplant in recent years, these technologies have only more recently been applied to HSCs, and our approach is new and unproven. The scientific evidence to support the feasibility of developing eHSCs is both preliminary and limited. Successful development of eHSCs by us will require solving a number of challenges, including:</w:t>
      </w:r>
    </w:p>
    <w:p>
      <w:pPr>
        <w:spacing w:after="0" w:line="1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authorization from the FDA and other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appropriate molecular or genetic targets for modification within HSCs;</w:t>
      </w:r>
    </w:p>
    <w:p>
      <w:pPr>
        <w:spacing w:after="0" w:line="225" w:lineRule="exact"/>
        <w:rPr>
          <w:rFonts w:ascii="Arial" w:cs="Arial" w:eastAsia="Arial" w:hAnsi="Arial"/>
          <w:sz w:val="18"/>
          <w:szCs w:val="18"/>
          <w:color w:val="auto"/>
        </w:rPr>
      </w:pPr>
    </w:p>
    <w:p>
      <w:pPr>
        <w:ind w:left="660" w:right="1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deploying consistent and reliable processes for procuring cells from consenting third-party donors, isolating HSCs from such donor cells, modifying target molecules within such HSCs, storing and transporting the resulting eHSCs for therapeutic use and finally infusing these eHSCs into patients;</w:t>
      </w:r>
    </w:p>
    <w:p>
      <w:pPr>
        <w:spacing w:after="0" w:line="18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utilizing these eHSC product candidates in combination or in sequence with companion therapeutics, which may increase the risk of adverse side effects;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avoiding potential complications of eHSC transplants, including failure to engraft, rejection by host or lack of functionality, any of which could result in serious side effects or death;</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our product candidates, particularly those that may be unique to our eHSCs;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understanding and addressing variability in the quality of a donor’s cells, which could ultimately affect our ability to manufacture product in a reliable and consistent manner;</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47" w:name="page48"/>
    <w:bookmarkEnd w:id="47"/>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eHSC products, including long-term follow-up and registries, for all patients who receive these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relying on third parties to find suitable healthy donors;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manufacturing product candidates to our specifications and in a timely manner to support our clinical trials and, if approved, commercialization;</w:t>
      </w:r>
    </w:p>
    <w:p>
      <w:pPr>
        <w:spacing w:after="0" w:line="248" w:lineRule="exact"/>
        <w:rPr>
          <w:rFonts w:ascii="Arial" w:cs="Arial" w:eastAsia="Arial" w:hAnsi="Arial"/>
          <w:sz w:val="16"/>
          <w:szCs w:val="16"/>
          <w:color w:val="auto"/>
        </w:rPr>
      </w:pPr>
    </w:p>
    <w:p>
      <w:pPr>
        <w:ind w:left="660" w:right="38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sourcing clinical and, if approved by applicable regulatory authorities, commercial supplies for the materials used to manufacture and process product candidates;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 manufacturing process and distribution network that can provide a stable supply with a cost of goods that allows for an attractive return on investment; and</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and marketing capabilities ahead of and after obtaining any regulatory approval to gain market acceptance, and obtaining coverage, adequate reimbursement and pricing by third-party payors and governmental healthcare programs.</w:t>
      </w:r>
    </w:p>
    <w:p>
      <w:pPr>
        <w:spacing w:after="0" w:line="17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may decide to alter or abandon our initial eHSC programs as new data become available and we gain experience in developing eHSCs. We cannot be sure that our programs will yield satisfactory products that are safe and effective, scalable or profitable in our initial indication or any other indication we pursue.</w:t>
      </w:r>
    </w:p>
    <w:p>
      <w:pPr>
        <w:spacing w:after="0" w:line="18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Moreover, actual or perceived safety issues, including as a result of adverse developments in our eHSC programs or in genome engineering programs undertaken by third parties or of the adoption of novel approaches to treatment, may adversely influence the willingness of subjects to participate in our clinical trials, or, if one of our product candidates is approved by applicable regulatory authorities, of physicians to subscribe to the novel treatment mechanics or of patients to provide consent to receive a novel treatment despite its regulatory approval. The FDA or other applicable regulatory authorities may require specific post-market studies or additional information that communicates the benefits or risks of our products. New data may reveal new risks of our product candidates at any time prior to or after regulatory approval.</w:t>
      </w:r>
    </w:p>
    <w:p>
      <w:pPr>
        <w:spacing w:after="0" w:line="17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cause serious adverse events, undesirable side effects or unexpected characteristics, such events, side effects or characteristics could delay or prevent regulatory approval of the product candidate, limit our commercial potential or result in significant negative consequences following any potential marketing approval.</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Undesirable side effects or adverse events caused by JSP191 and our other product candidates, and our eHSCs or other cell-based companion therapeutics we may develop, could cause us or regulatory authorities to interrupt, delay or halt clinical trials and could result in a more restrictive label or the delay or denial of regulatory approval by the FDA or comparable foreign regulatory authorities. Results of our clinical trials could reveal a high and unacceptable severity and prevalence of side effects or unexpected characteristics. Treatment-related side effects could also affect patient recruitment or the ability of enrolled patients to complete the trials or result in potential product liability claims.</w:t>
      </w:r>
    </w:p>
    <w:p>
      <w:pPr>
        <w:spacing w:after="0" w:line="17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There have been no clinical trials of eHSCs. In the genetic medicine field, there have been several significant adverse events from genetically engineered treatments in the past, including reported cases of leukemia and death. There can be no assurance that our eHSCs will not cause undesirable side effects, as improper modification of a patient’s DNA could lead to lymphoma, leukemia or other cancers, or other aberrantly functioning cells.</w:t>
      </w:r>
    </w:p>
    <w:p>
      <w:pPr>
        <w:spacing w:after="0" w:line="149"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A significant risk in any genetically engineered product candidate is that “off-target” gene alterations may occur, which could cause serious adverse events, undesirable side effects or unexpected characteristics. Although we and others have demonstrated the ability to improve the specificity of gene alterations in a laboratory setting, we cannot be certain that off-target alterations will not occur in any of our planned or future clinical trials, and the lack of observed side effects in preclinical studies does not guarantee that such side effects will not occur in human clinical trials.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ind w:right="20" w:firstLine="648"/>
        <w:spacing w:after="0" w:line="275" w:lineRule="auto"/>
        <w:rPr>
          <w:sz w:val="20"/>
          <w:szCs w:val="20"/>
          <w:color w:val="auto"/>
        </w:rPr>
      </w:pPr>
      <w:r>
        <w:rPr>
          <w:rFonts w:ascii="Arial" w:cs="Arial" w:eastAsia="Arial" w:hAnsi="Arial"/>
          <w:sz w:val="17"/>
          <w:szCs w:val="17"/>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have later been found to cause side effects that prevented further clinical development of the product candidates.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outcome of preclinical studies and early clinical trials may not be predictive of the success of later clinical trials, and interim results of clinical trials do not necessarily predict success in the results of completed clinical trials. There can be no assurance that any of our current or future preclinical and clinical trials will ultimately be successful or support further preclinical or clinical development of any of our product candidates.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 product development. Any such adverse events may cause us to delay, limit or terminate planned clinical trials, any of which would have a material adverse effect on our business, financial condition, results of operations and prospects.</w:t>
      </w:r>
    </w:p>
    <w:p>
      <w:pPr>
        <w:spacing w:after="0" w:line="18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candidates, the development timeline and regulatory approval and commercialization prospects for our most advanced product candidate, and, correspondingly, our business and financial prospects would be negatively impacted.</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the cost of developing product candidates could increase and our receipt of necessary regulatory approvals could be delayed or prevented.</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Patient enrollment is a significant factor in the timing of clinical trials. The timing of our clinical trials depends, in part, on the speed at which we can recruit patients to participate in our trials. We or our collaborators may not be able to continue clinical trials for JSP191 or any other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Patients may be unwilling to participate in our clinical trials because of negative publicity from adverse events related to the biotechnology, gene therapy or genome engineering fields, competitive clinical trials for similar patient populations, clinical trials in competing products or for other reasons. As a result, the timeline for recruiting patients, conducting trials and obtaining regulatory approval of product candidates may be delayed.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and maintain patient informed consent;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genome engineering as a treatment approach;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companion therapeutics that may be administered in combination or in sequence with JSP191;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25" w:lineRule="exact"/>
        <w:rPr>
          <w:rFonts w:ascii="Arial" w:cs="Arial" w:eastAsia="Arial" w:hAnsi="Arial"/>
          <w:sz w:val="18"/>
          <w:szCs w:val="18"/>
          <w:color w:val="auto"/>
        </w:rPr>
      </w:pPr>
    </w:p>
    <w:p>
      <w:pPr>
        <w:ind w:left="660" w:right="42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and other factors;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especially for those conditions that have small patient pools;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for HSCT to be performed in centers that specialize in this procedure;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to diagnostic technologies, methodologies or criteria used to identify HSCT patients at high risk for relapse.</w:t>
      </w:r>
    </w:p>
    <w:p>
      <w:pPr>
        <w:spacing w:after="0" w:line="225" w:lineRule="exact"/>
        <w:rPr>
          <w:sz w:val="20"/>
          <w:szCs w:val="20"/>
          <w:color w:val="auto"/>
        </w:rPr>
      </w:pPr>
    </w:p>
    <w:p>
      <w:pPr>
        <w:jc w:val="both"/>
        <w:ind w:right="160" w:firstLine="648"/>
        <w:spacing w:after="0" w:line="30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spacing w:after="0" w:line="15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Enrollment delays in our clinical trials may result in increased development costs for JSP191 or any other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ind w:right="220"/>
        <w:spacing w:after="0" w:line="277" w:lineRule="auto"/>
        <w:rPr>
          <w:sz w:val="20"/>
          <w:szCs w:val="20"/>
          <w:color w:val="auto"/>
        </w:rPr>
      </w:pPr>
      <w:r>
        <w:rPr>
          <w:rFonts w:ascii="Arial" w:cs="Arial" w:eastAsia="Arial" w:hAnsi="Arial"/>
          <w:sz w:val="18"/>
          <w:szCs w:val="18"/>
          <w:b w:val="1"/>
          <w:bCs w:val="1"/>
          <w:i w:val="1"/>
          <w:iCs w:val="1"/>
          <w:color w:val="auto"/>
        </w:rPr>
        <w:t>We have never obtained regulatory approval for a drug, may never receive regulatory approval for any of our product candidates, and may therefore never generate revenues from product sales.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company, we have never obtained regulatory approval for, or commercialized, a drug. It is possible that the FDA may refuse to accept any or all future product candidates for substantive review or may conclude after review of our data that our application is insufficient to obtain regulatory approval for any current or future product candidates. If the FDA does not approve any future product candidates, it may require that we conduct additional costly clinical, preclinical or manufacturing validation studies before the FDA will reconsider one or more of our applications. Depending on the extent of these or any other FDA-required studies, approval of any product candidates or other application that we submit may be significantly delayed, possibly for several years, or may require us to expend more resources than we have available. Any failure or delay in obtaining regulatory approvals would prevent us from commercializing JSP191 or any other product candidate, generating revenues and achieving and obtaining or sustaining profitability. It is also possible that additional studies, if performed and completed, may not be considered sufficient by the FDA to approve any new drug application or other application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6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commercial success depends upon attaining significant market acceptance of our product candidates, if approved, among physicians, patients, healthcare payers and operators of major clinics, and we may not be successful in attaining such market acceptance.</w:t>
      </w:r>
    </w:p>
    <w:p>
      <w:pPr>
        <w:spacing w:after="0" w:line="12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Even with the requisite approvals from the FDA in the U.S., the EMA in the European Union and other regulatory authorities internationally, the commercial success of our product candidates will depend, in part, upon the 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 benefits of our product candidates may require significant resources, including our management’s time and financial resources, and may not be successful. Ethical, social and legal concerns about genetic medicines generally and genome engineering technologies specifically could result in additional regulations restricting or prohibiting the marketing of our product candidates.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spacing w:after="0" w:line="18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such product candidate as demonstrated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other products that are used in combination or in sequence with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compared to alternative treatments;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EMA or other regulatory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 attitudes regarding genetic medicine generally and genome engineering technologies specifically;</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novel biologics and of physicians to prescribe these treatments, as well as their willingness to accept an intervention that involves the alteration of the patient’s gene;</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51" w:name="page52"/>
    <w:bookmarkEnd w:id="51"/>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third-party coverage and sufficiency of reimbursement;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Even if a product candidate is approved, such product may not achieve an adequate level of acceptance, we may not generate significant product revenues, and we may not become profitable.</w:t>
      </w:r>
    </w:p>
    <w:p>
      <w:pPr>
        <w:spacing w:after="0" w:line="170" w:lineRule="exact"/>
        <w:rPr>
          <w:sz w:val="20"/>
          <w:szCs w:val="20"/>
          <w:color w:val="auto"/>
        </w:rPr>
      </w:pPr>
    </w:p>
    <w:p>
      <w:pPr>
        <w:ind w:right="580"/>
        <w:spacing w:after="0" w:line="381"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approved, we may not be able to effectively market and sell our product candidates, if approved, or generate product revenues.</w:t>
      </w:r>
    </w:p>
    <w:p>
      <w:pPr>
        <w:spacing w:after="0" w:line="100"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limited marketing capabilities and limited experience in the sale, marketing or distribution of pharmaceutical products. In addition, we do not have a large sales, promotion and marketing budget. As a result of our limited marketing capabilities,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5" w:lineRule="exact"/>
        <w:rPr>
          <w:sz w:val="20"/>
          <w:szCs w:val="20"/>
          <w:color w:val="auto"/>
        </w:rPr>
      </w:pPr>
    </w:p>
    <w:p>
      <w:pPr>
        <w:ind w:left="980" w:right="1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products;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restricted or closed distribution channels that make it difficult to distribute our product candidates to segments of the patient population;</w:t>
      </w:r>
    </w:p>
    <w:p>
      <w:pPr>
        <w:spacing w:after="0" w:line="236" w:lineRule="exact"/>
        <w:rPr>
          <w:rFonts w:ascii="Arial" w:cs="Arial" w:eastAsia="Arial" w:hAnsi="Arial"/>
          <w:sz w:val="17"/>
          <w:szCs w:val="17"/>
          <w:color w:val="auto"/>
        </w:rPr>
      </w:pPr>
    </w:p>
    <w:p>
      <w:pPr>
        <w:ind w:left="980" w:right="20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2" w:name="page53"/>
    <w:bookmarkEnd w:id="52"/>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84"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The development and commercialization of new drug and biologic products is highly competitive. Moreover, the genome engineering and oncology fields are characterized by rapidly changing technologies, significant competition and a strong emphasis on intellectual property. We will face competition with respect to JSP191 and any other product candidates that we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There are a number of large pharmaceutical and biotechnology companies that currently market and sell products or are pursuing the development of products for the treatment of the disease indications for which we have product candidates and research programs. Some of these competitive products and therapies are based on scientific approaches that are the same as or similar to our approach, and others are based on entirely different approaches. 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our product candidates or that would render our product candidates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against competitors.</w:t>
      </w:r>
    </w:p>
    <w:p>
      <w:pPr>
        <w:spacing w:after="0" w:line="16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Competitors of JSP191 for our conditioning program for CD-117, a receptor for stem cell factor (“SCF”) that is expressed on the surface of hematopoietic stem and progenitor cells, include the following:</w:t>
      </w:r>
    </w:p>
    <w:p>
      <w:pPr>
        <w:spacing w:after="0" w:line="170"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Magenta Therapeutics, Inc., which is developing an Amanitin Anti-CD117 antibody drug conjugate and is in clinical development;</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Gilead Sciences, Inc., which is developing an antibody to CD117 that is not conjugated to any toxin and is used in combination with an antibody to CD47 and has started initial Phase I clinical studies;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Actinium Pharmaceuticals, Inc., which is developing an antibody to CD45 that is linked to radioisotope iodine-131 and is in Phase III clinical studies;</w:t>
      </w:r>
    </w:p>
    <w:p>
      <w:pPr>
        <w:spacing w:after="0" w:line="170"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Molecular Templates Inc., which is developing an antibody to CD45 that is conjugated to engineered Shiga-toxin and is in preclinical development; and</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Celldex Therapeutics, Inc., which is developing an antibody to inhibit tyrosine kinase KIT found in mast cells and is in Phase I/II clinical studies in indications unrelated to conditioning.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Competitors for our engineered stem cell therapy program include the following:</w:t>
      </w:r>
    </w:p>
    <w:p>
      <w:pPr>
        <w:spacing w:after="0" w:line="225" w:lineRule="exact"/>
        <w:rPr>
          <w:sz w:val="20"/>
          <w:szCs w:val="20"/>
          <w:color w:val="auto"/>
        </w:rPr>
      </w:pPr>
    </w:p>
    <w:p>
      <w:pPr>
        <w:ind w:left="980" w:right="1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Gamida Cell Ltd., which is developing an umbilical cord blood-derived cell product that uses a small molecule to inhibit differentiation and enhance functionality of </w:t>
      </w:r>
      <w:r>
        <w:rPr>
          <w:rFonts w:ascii="Arial" w:cs="Arial" w:eastAsia="Arial" w:hAnsi="Arial"/>
          <w:sz w:val="18"/>
          <w:szCs w:val="18"/>
          <w:i w:val="1"/>
          <w:iCs w:val="1"/>
          <w:color w:val="auto"/>
        </w:rPr>
        <w:t>ex vivo</w:t>
      </w:r>
      <w:r>
        <w:rPr>
          <w:rFonts w:ascii="Arial" w:cs="Arial" w:eastAsia="Arial" w:hAnsi="Arial"/>
          <w:sz w:val="18"/>
          <w:szCs w:val="18"/>
          <w:color w:val="auto"/>
        </w:rPr>
        <w:t>-expanded HSCs;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ExCellThera Inc., which is focused on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expansion of stem cells using a pyrimido-indole derivative small molecule;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Angiocrine Bioscience, Inc., which is expanding cord blood and gene-modified HSCs using an endothelial cell feeder layer;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Sana Biotechnology, Inc., which is developing hypoimmune cells designed to evade rejection and enable persistence of allogeneic cells;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Vor Biopharma, Inc., which is developing treatment-resistant marrow cells that enable CD33 targeted therapy;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Ensoma Inc., which is developing viral vectors for delivery of cell modification payload, in vivo.</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Adverse public perception of genetic medicines, and genome engineering in particular, may negatively impact regulatory approval of, and/or demand for, our potential products.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Some of our eHSCs or other cell-based therapeutics we develop may be created by altering the human genome. The clinical and commercial success of our potential products will depend in part on public understanding and acceptance of the use of genome engineering for the prevention or treatment of human diseases. Public attitudes may be influenced by claims that genome engineering is unsafe, unethical or immoral, and, consequently, our current or future product candidates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in lieu of, or in addition to, existing treatments with which they are already familiar and for which greater clinical data may be available.</w:t>
      </w:r>
    </w:p>
    <w:p>
      <w:pPr>
        <w:spacing w:after="0" w:line="19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genome engineering technology is subject to public debate and heightened regulatory scrutiny due to ethical concerns relating to the application of genome engineering technology to human embryos or the human germline. For example, in the United States, germline alteration for clinical application has been expressly prohibited since enactment of a December 2015 FDA ban on such activity. Prohibitions are also in place in the</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United Kingdom, across most of Europe, in China and many other countries around the world. In the United States, the National Institutes of Health has announced that the agency would not fund any use of gene engineering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Adverse events in our preclinical studies or clinical trials or those of our competitors or of academic researchers utilizing genome engineering technologies, even if not ultimately attributable to product candidates we may identify and develop, and the accompanying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our product candidates and will face an even greater risk if we commercially sell any products that we may develop.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or products caused injuries, we could incur substantial liabilities or be required to limit commercialization of our product candidates. Even a successful defense would require significant financial and management resources. Regardless of merit or eventual outcome, liability claims may result in:</w:t>
      </w:r>
    </w:p>
    <w:p>
      <w:pPr>
        <w:spacing w:after="0" w:line="166" w:lineRule="exact"/>
        <w:rPr>
          <w:sz w:val="20"/>
          <w:szCs w:val="20"/>
          <w:color w:val="auto"/>
        </w:rPr>
      </w:pPr>
    </w:p>
    <w:p>
      <w:pPr>
        <w:jc w:val="right"/>
        <w:ind w:left="5540" w:right="5500" w:hanging="4884"/>
        <w:spacing w:after="0" w:line="905" w:lineRule="auto"/>
        <w:tabs>
          <w:tab w:leader="none" w:pos="9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to commercialize any products that we may develop;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4" w:name="page55"/>
    <w:bookmarkEnd w:id="54"/>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insurance coverage as we continue clinical trials and if we successfully commercializes any product.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product candidates are complex and difficult to manufacture. We could experience delays in satisfying regulatory authorities or production problems that result in delays in our development or commercialization programs, limit the supply of our product candidates, or otherwise harm our business.</w:t>
      </w:r>
    </w:p>
    <w:p>
      <w:pPr>
        <w:spacing w:after="0" w:line="18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product candidates require processing steps that are more complex than those required for most chemical and other biological pharmaceuticals. Moreover, unlike chemical and other biological pharmaceuticals, the physical and chemical properties of a gene-engineered cell therapies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clinical trials.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In addition, our product candidates will require complicated delivery modalities, such as electroporation, which will introduce additional complexities into the manufacturing process.</w:t>
      </w:r>
    </w:p>
    <w:p>
      <w:pPr>
        <w:spacing w:after="0" w:line="19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eHSCs consist of engineered human cells, and the process of manufacturing such product candidates is complex, concentrated with a limited number of suppliers, highly regulated and subject to numerous risks. Manufacturing such product candidates involves harvesting cells from a donor or from the patient, altering the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using genome engineering technology, cryopreservation, storage and eventually shipment and infusing the cell product into the patient’s body. 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back to the clinical trial recipient, preparing the product for administration, infusing the patient with the product,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our manufacturing process, like that of a number of other cell therapy companies, is also characterized by limited numbers of suppliers, and in some cases sole source suppliers, with the manufacturing capabilities and know-how to create or source the materials, such as donor marrow cells and electroporation machines, used in our cell manufacturing. While we pursue multiple sources for the critical components of our manufacturing process, we may not be successful in securing these additional sources at all or on a timely basis. If microbial, viral or other contaminations are discovered in our product candidates or in any of the manufacturing facilities in which our product candidates or other materials are made, such manufacturing facilities may need to be closed for an extended period of time to investigate and remedy the contamination.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5" w:name="page56"/>
    <w:bookmarkEnd w:id="55"/>
    <w:p>
      <w:pPr>
        <w:ind w:firstLine="648"/>
        <w:spacing w:after="0" w:line="255" w:lineRule="auto"/>
        <w:rPr>
          <w:sz w:val="20"/>
          <w:szCs w:val="20"/>
          <w:color w:val="auto"/>
        </w:rPr>
      </w:pPr>
      <w:r>
        <w:rPr>
          <w:rFonts w:ascii="Arial" w:cs="Arial" w:eastAsia="Arial" w:hAnsi="Arial"/>
          <w:sz w:val="18"/>
          <w:szCs w:val="18"/>
          <w:color w:val="auto"/>
        </w:rPr>
        <w:t>In addition, the FDA, the EMA and other regulatory authorities may require us to submit samples of any lot of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9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harm our development timelines and our business, financial condition, results of operations and prospects.</w:t>
      </w:r>
    </w:p>
    <w:p>
      <w:pPr>
        <w:spacing w:after="0" w:line="15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or any contract research organizations, contract manufacturers or suppliers that we engage fail to comply with environmental, health and safety laws and regulations, we could become subject to fines or penalties or incur costs that could have a material adverse effect on the success of our business.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any contract research organizations,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Although we believe that our and such third parties’ procedures for handling, storing and disposing of these materials and waste comply with legally prescribed standards,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8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product development and research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regulations and permitting requirements. For example, our products are considered to contain genetically modified organisms or cells, which are regulated in different ways depending upon the country in which preclinical research or clinical trials are conducted.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9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Any third-party contract research organizations,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Regulatory Review</w:t>
      </w:r>
    </w:p>
    <w:p>
      <w:pPr>
        <w:spacing w:after="0" w:line="22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JSP191 and any other product candidates we identify and develop, we must complete preclinical development and then conduct extensive clinical trials to demonstrate the safety and efficacy of such product candidates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and our collaborators, if any, may experience numerous unforeseen events during, or as a result of, clinical trials that could delay or prevent our ability to receive marketing approval or commercialize any product candidates, including:</w:t>
      </w:r>
    </w:p>
    <w:p>
      <w:pPr>
        <w:spacing w:after="0" w:line="17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IRBs, independent ethics committees or scientific review boards may not authorize us or our investigators to commence a clinical trial or conduct a clinical trial at a prospective trial site;</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CROs and clinical trial sites;</w:t>
      </w:r>
    </w:p>
    <w:p>
      <w:pPr>
        <w:spacing w:after="0" w:line="170"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of product candidates may produce negative or inconclusive results, and we may decide, or regulators may require us, to conduct additional clinical trials or abandon product development or research programs;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that may render it inappropriate to conduct a trial with a control arm that can be effectively compared to a treatment arm;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170" w:lineRule="exact"/>
        <w:rPr>
          <w:rFonts w:ascii="Arial" w:cs="Arial" w:eastAsia="Arial" w:hAnsi="Arial"/>
          <w:sz w:val="18"/>
          <w:szCs w:val="18"/>
          <w:color w:val="auto"/>
        </w:rPr>
      </w:pPr>
    </w:p>
    <w:p>
      <w:pPr>
        <w:ind w:left="980" w:right="1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JSP191 and any other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186"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57" w:name="page58"/>
    <w:bookmarkEnd w:id="57"/>
    <w:p>
      <w:pPr>
        <w:ind w:left="980" w:right="12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supply or quality of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product candidates that are viewed to outweigh their potential benefits;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we or our collaborators, if any, are required to conduct additional clinical trials or other testing of product candidates beyond those that we currently contemplate, if we or our collaborators are unable to successfully complete clinical trials or other testing of product candidates, or if the results of these trials or tests are not positive or are only modestly positive or if there are safety concerns, we or our collaborators may:</w:t>
      </w:r>
    </w:p>
    <w:p>
      <w:pPr>
        <w:spacing w:after="0" w:line="16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any such product candidates or not obtain marketing approval at all;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236" w:lineRule="exact"/>
        <w:rPr>
          <w:rFonts w:ascii="Arial" w:cs="Arial" w:eastAsia="Arial" w:hAnsi="Arial"/>
          <w:sz w:val="17"/>
          <w:szCs w:val="17"/>
          <w:color w:val="auto"/>
        </w:rPr>
      </w:pPr>
    </w:p>
    <w:p>
      <w:pPr>
        <w:ind w:left="980" w:right="2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Risk Evaluation and Mitigation Strategy (“REMS”) or through modification to an existing REMS;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sued;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product candidates, could allow our competitors to bring products to market before we do and could impair our ability to successfully commercialize product candidates, any of which may harm our business, financial condition, results of operations and prospects.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ind w:right="40" w:firstLine="648"/>
        <w:spacing w:after="0" w:line="272" w:lineRule="auto"/>
        <w:rPr>
          <w:sz w:val="20"/>
          <w:szCs w:val="20"/>
          <w:color w:val="auto"/>
        </w:rPr>
      </w:pPr>
      <w:r>
        <w:rPr>
          <w:rFonts w:ascii="Arial" w:cs="Arial" w:eastAsia="Arial" w:hAnsi="Arial"/>
          <w:sz w:val="17"/>
          <w:szCs w:val="17"/>
          <w:color w:val="auto"/>
        </w:rPr>
        <w:t>Further,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including the FDA, have furloughed critical employees and stopped critical activities. If a prolonged government shutdown occurs, it could significantly impact the ability of the FDA to timely review and process our regulatory submissions, which could have a material adverse effect on our business. The Trump Administration also took several executive actions that could impose significant burdens on, or otherwise materially delay, the FDA’s ability to engage in routine regulatory and oversight activities. Certain of these orders were revoked by President Trump on January 20, 2021, and it remains to be seen how the current administration will address regulatory reform.</w:t>
      </w:r>
    </w:p>
    <w:p>
      <w:pPr>
        <w:spacing w:after="0" w:line="17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Stem cell transplant is a high-risk procedure with curative potential that may result in complications or adverse events for patients in our clinical trials or for patients that use any of our product candidates, if approved.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Stem cell transplant has the potential to cure patients across multiple diseases, but its use carries with it risks of toxicity, serious adverse events and death. Because many of our therapies are used to prepare or treat patients undergoing stem cell transplant, patients in our clinical trials or patients that use any of our product candidates may be subject to many of the risks that are currently inherent to this procedure. In particular, stem cell transplant involves certain known potential post-procedure complications that may manifest several weeks or months after a transplant and that may be more common in certain patient populations. For example, up to 20% of patients with inherited metabolic disorders treated with a transplant experience primary engraftment failure, resulting in severe complications, including death. Another example is autoimmune cytopenia, a known and severe frequent complication of the transplant procedure in patients with non-malignant diseases, such as inherited metabolic diseases, that can result in death. There is also a risk of graft-versus-host disease, a potentially serious complication in which the grafted cells attack and damage the patient’s healthy cells, which can be severe and sometimes life-threatening. If these or other serious adverse events, undesirable side effects, or unexpected characteristics are identified during the development of any of our product candidates, we may need to limit, delay or abandon our further clinical development of those product candidates, even if such events, effects or characteristics were the result of stem cell transplant or related procedures generally, and not directly or specifically caused or exacerbated by our product candidates. All serious adverse events or unexpected side effects are continually monitored per the clinical trial’s approved protocol. If serious adverse events are determined to be directly or specifically caused or exacerbated by our product candidates, we would follow the trial protocol’s requirements, which call for our data safety monitoring committee to review all available clinical data in making a recommendation regarding the trial’s continuation.</w:t>
      </w:r>
    </w:p>
    <w:p>
      <w:pPr>
        <w:spacing w:after="0" w:line="18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any product candidates we develop from being marketed in such jurisdictions, which, in turn, would materially impair our ability to generate revenue.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order to market and sell any product candidates we develop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 candidates in any jurisdiction, which would materially impair our ability to generate revenue.</w:t>
      </w:r>
    </w:p>
    <w:p>
      <w:pPr>
        <w:spacing w:after="0" w:line="166"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Additionally, we could face heightened risks with respect to seeking marketing approval in the United Kingdom as a result of the recent withdrawal of the United Kingdom from the European Union on December 31, 2020,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The agreement sets out certain procedures for approval and recognition of medical products in each jurisdiction.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ind w:right="60" w:firstLine="648"/>
        <w:spacing w:after="0" w:line="291" w:lineRule="auto"/>
        <w:rPr>
          <w:sz w:val="20"/>
          <w:szCs w:val="20"/>
          <w:color w:val="auto"/>
        </w:rPr>
      </w:pPr>
      <w:r>
        <w:rPr>
          <w:rFonts w:ascii="Arial" w:cs="Arial" w:eastAsia="Arial" w:hAnsi="Arial"/>
          <w:sz w:val="16"/>
          <w:szCs w:val="16"/>
          <w:color w:val="auto"/>
        </w:rPr>
        <w:t>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any product candidates, which could significantly and materially harm our business.</w:t>
      </w:r>
    </w:p>
    <w:p>
      <w:pPr>
        <w:spacing w:after="0" w:line="16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Even if we complete the necessary clinical trials, we cannot predict when, or if, we will obtain regulatory approval to commercialize our product candidates in the United States or any other jurisdiction, and any such approval may be for a more narrow indication than we seek.</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spacing w:after="0" w:line="192"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16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of any of our product candidates, the approved products may be subject to post-approval studies and will remain subject to ongoing regulatory requirements. If we fail to comply, or if concerns are identified in subsequent studies, our approval could be withdrawn, and our product sales could be suspended.</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we are successful at obtaining regulatory approval for JSP191 or any of our other product candidates, regulatory agencies in the U.S. and other countries where a product will be sold may require extensive additional clinical trials or post-approval clinical trials that are expensive and time-consuming to conduct. These studies may be expensive and time-consuming to conduct and may reveal side effects or other harmful effects in patients that use our therapeutic products after they are on the market, which may result in the limitation or withdrawal of our drugs from the market. Alternatively, we may not be able to conduct such additional trials, which might force us to abandon our efforts to develop or commercialize certain product candidates. Even if post-approval studies are not requested or required, after our products are approved and are on the market, there might be safety issues that emerge over time that require a change in product labeling, additional post-market studies or clinical trials, imposition of distribution and use restrictions under a REMS or withdrawal of the product from the market, which would cause our revenue to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0" w:name="page61"/>
    <w:bookmarkEnd w:id="60"/>
    <w:p>
      <w:pPr>
        <w:ind w:right="280" w:firstLine="648"/>
        <w:spacing w:after="0" w:line="301" w:lineRule="auto"/>
        <w:rPr>
          <w:sz w:val="20"/>
          <w:szCs w:val="20"/>
          <w:color w:val="auto"/>
        </w:rPr>
      </w:pPr>
      <w:r>
        <w:rPr>
          <w:rFonts w:ascii="Arial" w:cs="Arial" w:eastAsia="Arial" w:hAnsi="Arial"/>
          <w:sz w:val="16"/>
          <w:szCs w:val="16"/>
          <w:color w:val="auto"/>
        </w:rPr>
        <w:t>Additionally, any products that we may successfully develop will be subject to ongoing regulatory requirements after they are approved. These requirements will govern the manufacturing, packaging, marketing, distribution, and use of our products. If we fail to comply with such regulatory requirements, approval for our products may be withdrawn, and product sales may be suspended. We may not be able to regain compliance, or we may only be able to regain compliance after a lengthy delay, significant expense, lost revenues and/or damage to our reputation.</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The regulatory landscape that will govern our product candidates is uncertain; regulations relating to more established cellular therapy products are still developing, and changes in regulatory requirements could result in delays or discontinuation of development of our product candidates or unexpected costs in obtaining regulatory approval. The FDA and other governing bodies may disagree with our regulatory plan, and we may fail to obtain regulatory approval of our product candidates.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Because our product candidates and technology platform involve genetic and cellular engineering, we are subject to many of the challenges and risks that other genetically engineered biologics and cellular therapies face, including:</w:t>
      </w:r>
    </w:p>
    <w:p>
      <w:pPr>
        <w:spacing w:after="0" w:line="170" w:lineRule="exact"/>
        <w:rPr>
          <w:sz w:val="20"/>
          <w:szCs w:val="20"/>
          <w:color w:val="auto"/>
        </w:rPr>
      </w:pPr>
    </w:p>
    <w:p>
      <w:pPr>
        <w:ind w:left="980" w:right="16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requirements or guidance regarding the requirements governing genetic and cellular engineering products have changed and may continue to change in the future;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date, only a limited number of products that involve genetic or cellular engineering have been approved globally;</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improper modulation of a gene sequence, including unintended alterations or insertion of a sequence into certain locations in a patient’s chromosomes, could lead to cancer, other aberrantly functioning cells or other diseases, as well as death;</w:t>
      </w:r>
    </w:p>
    <w:p>
      <w:pPr>
        <w:spacing w:after="0" w:line="170"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corrective expression of a missing protein, or deletion of an existing protein, in patients’ cells could result in the protein or cell being recognized as foreign, and lead to a sustained immunological reaction against the expressed protein or expressing cells, which could be severe or life-threatening;</w:t>
      </w:r>
    </w:p>
    <w:p>
      <w:pPr>
        <w:spacing w:after="0" w:line="183"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agencies may require extended follow-up observation periods of patients who receive treatment using genetic or cellular engineering products including, for example, the FDA’s recommended 15-year follow-up observation period for these patients, and we will need to adopt such observation periods for our product candidates if required by the relevant regulatory agency, which could vary by country or region;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fields of genetic and cellular engineering are subject to a number of intellectual property disputes.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regulatory requirements that will govern any eHSCs or other novel genetically engineered product candidates we develop may change. Within the broader genetic medicine field, we are aware of a limited number of gene therapy products that have received marketing authorization from the FDA and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within its Center for Biologics Evaluation and Research (“CBER”) to consolidate the review of gene therapy and related products, and the Cellular, Tissue and Gene Therapies Advisory Committee to advise CBER on its review.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Before a clinical study can begin at any institution, that institution’s IRB and its IBC assess the safety of the research and identify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Moreover, serious adverse events or developments in clinical trials of gene or cellular therapy product candidates conducted by others may cause the FDA or other regulatory bodies to initiate a clinical hold on our clinical trials or otherwise change the requirements for approval of any of our product candidates. Although the FDA decides whether individual gene or cellular therapy protocols may proceed, the review process and determinations of other reviewing bodies can impede or delay the initiation of a clinical trial even if the FDA has reviewed the trial and approved its initiation.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1" w:name="page62"/>
    <w:bookmarkEnd w:id="61"/>
    <w:p>
      <w:pPr>
        <w:ind w:right="100" w:firstLine="648"/>
        <w:spacing w:after="0" w:line="272" w:lineRule="auto"/>
        <w:rPr>
          <w:sz w:val="20"/>
          <w:szCs w:val="20"/>
          <w:color w:val="auto"/>
        </w:rPr>
      </w:pPr>
      <w:r>
        <w:rPr>
          <w:rFonts w:ascii="Arial" w:cs="Arial" w:eastAsia="Arial" w:hAnsi="Arial"/>
          <w:sz w:val="17"/>
          <w:szCs w:val="17"/>
          <w:color w:val="auto"/>
        </w:rPr>
        <w:t>The same applies in the European Union. The EMA’s Committee for Advanced Therapies (“CAT”) is responsible for assessing the quality, safety and efficacy of advanced-therapy medicinal products. The role of the CAT is to prepare a draft opinion on an application for marketing authorization for a cell or gene therapy or other novel therapeutic medicinal candidate that is submitted to the Committee for Medicinal Products for Human Use (“CHMP”) before CHMP adopts its final opinion. In the European Union, the development and evaluation of an advanced therapeutic medicinal product must be considered in the context of the relevant European Union guidelines. The EMA may issue new guidelines concerning the development and marketing authorization for these medicinal products and require that we comply with these new guidelines. As a result, the procedures and standards applied to gene and cell therapy products may be applied to our eHSCs, but that remains uncertain at this point.</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Adverse developments in post-marketing experience or in clinical trials conducted by others of gene therapy products, cell therapy products or products developed through the application of a genome engineering technology may cause the FDA, the EMA and other regulatory bodies to revise the requirements for development or approval of our eHSCs may develop or limit the use of products utilizing genome engineering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 eHSCs,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engineering technology in a timely manner or under technically or commercially feasible conditions. In addition, regulatory action or private litigation could result in expenses, delays or other impediments to our product candidate development, research programs or the commercialization of resulting products.</w:t>
      </w:r>
    </w:p>
    <w:p>
      <w:pPr>
        <w:spacing w:after="0" w:line="168" w:lineRule="exact"/>
        <w:rPr>
          <w:sz w:val="20"/>
          <w:szCs w:val="20"/>
          <w:color w:val="auto"/>
        </w:rPr>
      </w:pPr>
    </w:p>
    <w:p>
      <w:pPr>
        <w:ind w:right="300" w:firstLine="648"/>
        <w:spacing w:after="0" w:line="271" w:lineRule="auto"/>
        <w:rPr>
          <w:sz w:val="20"/>
          <w:szCs w:val="20"/>
          <w:color w:val="auto"/>
        </w:rPr>
      </w:pPr>
      <w:r>
        <w:rPr>
          <w:rFonts w:ascii="Arial" w:cs="Arial" w:eastAsia="Arial" w:hAnsi="Arial"/>
          <w:sz w:val="17"/>
          <w:szCs w:val="17"/>
          <w:color w:val="auto"/>
        </w:rPr>
        <w:t>The regulatory review committees and advisory groups described above and the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Currently, OTAT requires a 15-year follow-up for each patient who receives a genetically engineered cell or gene therapy. This requirement applies to all patients treated in trials during clinical development prior to approval. Following approval, such prolonged follow-up could continue to be required. As we advance our product candidates and research programs, we will be required to consult with these regulatory and advisory groups and to comply with applicable guidelines. If we fail to do so, we may be required to delay or discontinue development of our eHSCs and any other product candidates we identify and develop.</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results from our clinical trials that we may announce or publish from time to time may change as more patient data become available and are subject to audit and verification procedures that could result in material changes in the final data.</w:t>
      </w:r>
    </w:p>
    <w:p>
      <w:pPr>
        <w:spacing w:after="0" w:line="14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From time to time, we may publish interim top-line or preliminary results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In particular, we have announced, and may in the future announce, interim results from our ongoing, open label Phase 1/2 and Phase 1 clinical trials of JSP191.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2" w:name="page63"/>
    <w:bookmarkEnd w:id="62"/>
    <w:p>
      <w:pPr>
        <w:ind w:firstLine="648"/>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9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Negative public opinion of gene therapy and increased regulatory scrutiny of gene therapy and genetic research may adversely impact public perception of our future product candidates.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potential therapeutic products involve introducing genetic material into patients’ cells.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6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have led to several well-publicized adverse events, including reported cases of leukemia. Adverse events in our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In addition, there is the potential risk of delayed adverse events following exposure to gene therapy products due to persistent biological activity of the genetic material or other components of products used to carry the genetic material. If any such adverse events occur, commercialization of our product candidates or further advancement of our clinical trials could be halted or delayed, which would have a negative impact on our business and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ind w:right="140"/>
        <w:spacing w:after="0" w:line="263" w:lineRule="auto"/>
        <w:rPr>
          <w:sz w:val="20"/>
          <w:szCs w:val="20"/>
          <w:color w:val="auto"/>
        </w:rPr>
      </w:pPr>
      <w:r>
        <w:rPr>
          <w:rFonts w:ascii="Arial" w:cs="Arial" w:eastAsia="Arial" w:hAnsi="Arial"/>
          <w:sz w:val="18"/>
          <w:szCs w:val="18"/>
          <w:b w:val="1"/>
          <w:bCs w:val="1"/>
          <w:i w:val="1"/>
          <w:iCs w:val="1"/>
          <w:color w:val="auto"/>
        </w:rPr>
        <w:t>We may seek Fast Track or other accelerated review designations for some or all of our product candidates. We may not receive such designation, and even for those product candidates for which we do, it may not lead to a faster development or regulatory review or approval process, and will not increase the likelihood that product candidates will receive marketing approval.</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may seek Fast Track or other accelerated review designations for some or all of our other product candidates. If a drug or biologic is intended for the treatment of a serious or life-threatening condition or disease, and nonclinical or clinical data demonstrate the potential to address an unmet medical need, the product may qualify for FDA Fast Track designation, for which sponsors must apply. If granted, a Fast Track or other accelerated review designation makes a product candidate eligible for more frequent interactions with the FDA to discuss the development plan and clinical trial design, as well as rolling review of the application, which means that we can submit completed sections of our marketing application for review prior to completion of the entire submission. Marketing applications of product candidates with a Fast Track or other accelerated review designation may qualify for priority review under the policies and procedures offered by the FDA, but a Fast Track or other accelerated review designation does not assure any such qualification or ultimate marketing approval by the FDA. The FDA has broad discretion with respect to whether or not to grant this designation. Thus, even if we believe a particular product candidate is eligible for this designation, the FDA may decide not to grant it. Moreover, even if we do receive a Fast Track or another accelerated review designation, we or our collaborators may not experience a faster development process, review or approval compared to conventional FDA procedures. In addition, the FDA may withdraw a Fast Track or other accelerated review designation if it believes that the designation is no longer supported by data from our clinical development program.</w:t>
      </w:r>
    </w:p>
    <w:p>
      <w:pPr>
        <w:spacing w:after="0" w:line="1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our product candidates, but we might not receive such designation, and even if we do, such designation may not lead to a faster development or regulatory review or approval process.</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7" w:lineRule="exact"/>
        <w:rPr>
          <w:sz w:val="20"/>
          <w:szCs w:val="20"/>
          <w:color w:val="auto"/>
        </w:rPr>
      </w:pPr>
    </w:p>
    <w:p>
      <w:pPr>
        <w:ind w:right="780"/>
        <w:spacing w:after="0" w:line="381" w:lineRule="auto"/>
        <w:rPr>
          <w:sz w:val="20"/>
          <w:szCs w:val="20"/>
          <w:color w:val="auto"/>
        </w:rPr>
      </w:pPr>
      <w:r>
        <w:rPr>
          <w:rFonts w:ascii="Arial" w:cs="Arial" w:eastAsia="Arial" w:hAnsi="Arial"/>
          <w:sz w:val="15"/>
          <w:szCs w:val="15"/>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0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and biologics designated as breakthrough therapies by the FDA may also be eligible for accelerated approval.</w:t>
      </w:r>
    </w:p>
    <w:p>
      <w:pPr>
        <w:spacing w:after="0" w:line="16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such qualification.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ind w:right="600"/>
        <w:spacing w:after="0" w:line="263" w:lineRule="auto"/>
        <w:rPr>
          <w:sz w:val="20"/>
          <w:szCs w:val="20"/>
          <w:color w:val="auto"/>
        </w:rPr>
      </w:pPr>
      <w:r>
        <w:rPr>
          <w:rFonts w:ascii="Arial" w:cs="Arial" w:eastAsia="Arial" w:hAnsi="Arial"/>
          <w:sz w:val="18"/>
          <w:szCs w:val="18"/>
          <w:b w:val="1"/>
          <w:bCs w:val="1"/>
          <w:i w:val="1"/>
          <w:iCs w:val="1"/>
          <w:color w:val="auto"/>
        </w:rPr>
        <w:t>The regenerative medicine advanced therapy (“RMAT”) designation by the FDA for any of our product candidates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may seek an RMAT designation for our product candidates if the clinical data support such a designation for one or more product candidates. An RMAT is defined as cell and gene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drug has the potential to address unmet medical needs for such disease or condition. A biologics license application for a regenerative medicine therapy that has received RMAT designation may be eligible for priority review or accelerated approval. An RMAT may be eligible for priority review if it treats a serious condition and, if approved, would provide a significant improvement in the safety or effectiveness of the treatment of the condition. An RMAT may be eligible for accelerated approval through surrogate or intermediate endpoints reasonably likely to predict long-term clinical benefit or reliance upon data obtained from a meaningful number of sites. Benefits of such designation also include early interactions with the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trials, patient registries, or other sources of real world evidence, such as electronic health records; the collection of larger confirmatory data sets; or post-approval monitoring of all patients treated with such therapy prior to its approval.</w:t>
      </w:r>
    </w:p>
    <w:p>
      <w:pPr>
        <w:spacing w:after="0" w:line="17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Designation as an RMAT is within the discretion of the FDA. Accordingly, even if we believe one of our product candidates meets the criteria for designation as a RMAT, the FDA may disagree and instead determine not to make such designation. In any event, the receipt of RMAT designation for our product candidates may not result in a faster development process, review or approval compared to drugs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such qualification.</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able to obtain orphan drug exclusivity for one or more of our product candidates, and even if we do, that exclusivity may not prevent the FDA or EMA from approving other competing products.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Orphan Drug Act of 1983,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7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we may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and the FDA issued recent draft guidance suggesting that it would not consider two genetic medicine products to be different drugs solely based on minor differences in the transgenes or vectors within a given vector class.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2017, Congress passed the FDA Reauthorization Act of 2017 (the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Under omnibus legislation signed by President Trump on December 27, 2020, the requirement for a product to show clinical superiority applies to any drug and biologic that received orphan drug designation before enactment of FDARA in 2017 but has not yet been approved or licensed by the FDA.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5" w:name="page66"/>
    <w:bookmarkEnd w:id="65"/>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furloughed critical FDA employees and stopped critical activities. If a prolonged government shutdown occurs, it could significantly impact the ability of the FDA to timely review and process our regulatory submissions, which could have a material adverse effect on our business.</w:t>
      </w:r>
    </w:p>
    <w:p>
      <w:pPr>
        <w:spacing w:after="0" w:line="19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and will rely on them to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4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we have recruited a team that has experience with clinical trials, as a company, we have limited experience in conducting clinical trials. Moreover, we do not have the ability to independently conduct preclinical studies and clinical trials, and we have relied upon, and plan to continue to rely upon, medical institutions, clinical investigators, contract laboratories and other third parties, or our CROs, to conduct preclinical studies and future clinical trials for our product candidates. We expect to rely heavily on these parties for execution of preclinical and future clinical trials for our product candidates and control only certain aspects of their activities. Nevertheless, we will be responsible for ensuring that each of our preclinical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CROs will be required to comply with regulations, including cGCPs for conducting, monitoring, recording and reporting the results of preclinical and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cGCPs. In addition, our clinical trials must be conducted with product candidates produced in accordance with the requirements in the FDA’s current cGMPs requirements. Our failure or the failure of our CROs to comply with these regulations may require us to repeat clinical trials, which would delay the regulatory approval process and could also subject us to enforcement action.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6" w:name="page67"/>
    <w:bookmarkEnd w:id="66"/>
    <w:p>
      <w:pPr>
        <w:ind w:right="120" w:firstLine="648"/>
        <w:spacing w:after="0" w:line="279" w:lineRule="auto"/>
        <w:rPr>
          <w:sz w:val="20"/>
          <w:szCs w:val="20"/>
          <w:color w:val="auto"/>
        </w:rPr>
      </w:pPr>
      <w:r>
        <w:rPr>
          <w:rFonts w:ascii="Arial" w:cs="Arial" w:eastAsia="Arial" w:hAnsi="Arial"/>
          <w:sz w:val="17"/>
          <w:szCs w:val="17"/>
          <w:color w:val="auto"/>
        </w:rPr>
        <w:t>Although we intend to design our planned clinical trials for our product candidates, for the foreseeable future CROs will conduct all of our planned clinical trials. As a result, many important aspects of our development programs, including their conduct and timing, will be outside of our direct control. Our reliance on third parties to conduct future preclinical studies and clinical trials will also result in less day-to-day control over the management of data developed through preclinical studies and clinical trials than would be the case if we were relying entirely upon our own staff.</w:t>
      </w:r>
    </w:p>
    <w:p>
      <w:pPr>
        <w:spacing w:after="0" w:line="17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preclinical studies or clinical trials with which such CROs are associated with may be extended, delayed or terminated. In such cases, we may not be able to obtain regulatory approval for or successfully commercialize our product candidates. As a result, our financial results and the commercial prospects for our product candidates in the subject indication could be harmed, our costs could increase and our ability to generate revenue could be delayed.</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currently rely on a single manufacturer for our clinical supply of our product candidates. In the event of a loss of this manufacturer, or a failure by such manufacturer to comply with FDA regulations, we may not be able to find an alternative source on commercially reasonable terms, or at all. In addition, third-party manufacturers and any third-party collaborators may be unable to successfully scale-up manufacturing of our current or future product candidates in sufficient quality and quantity, which would delay or prevent us from developing our product candidates and commercializing approved products, if any.</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do not have any manufacturing facilities at the present time. We currently rely on third-party manufacturers, including Lonza Sales AG (“Lonza”) as a single source supplier, for the manufacture and supply of our materials for preclinical studies, and expect to continue to do so for future clinical testing and for commercial supply of JSP191 and any other product candidates that we may develop and for which we or our collaborators obtain marketing approval. Our agreement with Lonza includes certain limitations on our ability to enter into supply arrangements with any other supplier without Lonza’s consent. In addition, Lonza has the right to increase the prices it charges us for certain supplies depending on a number of factors, some of which are outside of our control. We may be unable to maintain or establish any agreements with third-party manufacturers or suppliers or to do so on acceptable terms. Even if we are able to establish agreements with third-party manufacturers or suppliers, reliance on third-party manufacturers entails additional risks, including:</w:t>
      </w:r>
    </w:p>
    <w:p>
      <w:pPr>
        <w:spacing w:after="0" w:line="192"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addition, pursuant to our Exclusive License Agreement with Amgen Inc., Lonza Biologics, Inc. has been engaged to manufacture JSP191 for us. The agreement provides that in the event we wish to change the manufacturer of JSP191 to a different party, we must obtain Amgen Inc.’s prior consent. As a result, our ability to obtain any alternative supplier of JSP191 may be further limited.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7" w:name="page68"/>
    <w:bookmarkEnd w:id="67"/>
    <w:p>
      <w:pPr>
        <w:ind w:right="8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or suppliers, to comply with applicable regulations could result in sanctions being imposed on us, including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and harm our business, financial condition, results of operations and prospects.</w:t>
      </w:r>
    </w:p>
    <w:p>
      <w:pPr>
        <w:spacing w:after="0" w:line="188"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Our product candidates may compete with other product candidates and products for access to manufacturing facilities and other supplies. There are a limited number of manufacturers that operate under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spacing w:after="0" w:line="17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performance failure on the part of our existing or future manufacturers or suppliers, or any decision by a manufacturer or supplier to remove our products from the market or restrict access to our products, could delay clinical development or marketing approval. We do not currently have arrangements in place for redundant or guaranteed supply for many of the materials we currently use in our clinical trials or preclinical studies, and we may have difficulty or be unable to establish alternative sources of these materials.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enter into collaborations with third parties for the research, development and commercialization of certain product candidates we may develop.</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any such collaborations are not successful, we may not be able to capitalize on the market potential of those product candidates.</w:t>
      </w:r>
    </w:p>
    <w:p>
      <w:pPr>
        <w:spacing w:after="0" w:line="22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product candidates we may develop. If we enter into any such arrangements with any third parties, we will likely have limited control over the amount and timing of resources that our collaborators dedicate to the development or commercialization our product candidates.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Collaborations involving our current or future product candidates or research programs pose numerous risks to us, including the following:</w:t>
      </w:r>
    </w:p>
    <w:p>
      <w:pPr>
        <w:spacing w:after="0" w:line="237" w:lineRule="exact"/>
        <w:rPr>
          <w:sz w:val="20"/>
          <w:szCs w:val="20"/>
          <w:color w:val="auto"/>
        </w:rPr>
      </w:pPr>
    </w:p>
    <w:p>
      <w:pPr>
        <w:ind w:left="980" w:right="14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83" w:lineRule="exact"/>
        <w:rPr>
          <w:rFonts w:ascii="Arial" w:cs="Arial" w:eastAsia="Arial" w:hAnsi="Arial"/>
          <w:sz w:val="18"/>
          <w:szCs w:val="18"/>
          <w:color w:val="auto"/>
        </w:rPr>
      </w:pPr>
    </w:p>
    <w:p>
      <w:pPr>
        <w:ind w:left="980" w:right="44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46" w:lineRule="exact"/>
        <w:rPr>
          <w:rFonts w:ascii="Arial" w:cs="Arial" w:eastAsia="Arial" w:hAnsi="Arial"/>
          <w:sz w:val="17"/>
          <w:szCs w:val="17"/>
          <w:color w:val="auto"/>
        </w:rPr>
      </w:pPr>
    </w:p>
    <w:p>
      <w:pPr>
        <w:ind w:left="980" w:right="2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3"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68" w:name="page69"/>
    <w:bookmarkEnd w:id="68"/>
    <w:p>
      <w:pPr>
        <w:ind w:left="980" w:right="120" w:hanging="324"/>
        <w:spacing w:after="0" w:line="263"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236" w:lineRule="exact"/>
        <w:rPr>
          <w:rFonts w:ascii="Arial" w:cs="Arial" w:eastAsia="Arial" w:hAnsi="Arial"/>
          <w:sz w:val="17"/>
          <w:szCs w:val="17"/>
          <w:color w:val="auto"/>
        </w:rPr>
      </w:pPr>
    </w:p>
    <w:p>
      <w:pPr>
        <w:ind w:left="980" w:right="40" w:hanging="324"/>
        <w:spacing w:after="0" w:line="286"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6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If our collaborations do not result in the successful development and commercialization of product candidates, or if one of our collaborators terminates our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17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260"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Our product development and research programs and the potential commercialization of JSP191 or any other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4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6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are highly dependent on intellectual property licensed from third parties, and termination of any of these licenses could result in the loss of significant rights, which would harm our business.</w:t>
      </w:r>
    </w:p>
    <w:p>
      <w:pPr>
        <w:spacing w:after="0" w:line="170"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are dependent on the patents, know-how and proprietary technology licensed from third parties for the development and, if approved, commercialization of JSP191. Any termination of these licenses, or a finding that such intellectual property lacks legal effect, could result in the loss of significant rights and could harm our ability to commercialize our current or future product candidates.</w:t>
      </w:r>
    </w:p>
    <w:p>
      <w:pPr>
        <w:spacing w:after="0" w:line="18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For example, we rely on our worldwide exclusive license agreement with Amgen Inc., whereby we license a patent portfolio from Amgen Inc. applicable to our targeted conditioning program that contains patent families directed to humanized C-kit antibody. We also rely on our license agreement with Stanford, whereby we license a patent portfolio applicable to our targeted conditioning and stem cell graft programs that contains patent families directed to immunodepletion of endogenous stem cell niche for engraftment.</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Each of our license agreements with third parties impose certain obligations on us, including obligations to use diligent efforts to meet development thresholds and payment obligations. Non-compliance with such obligations may result in termination of the respective license agreement or in legal and financial consequences. If any of our licensors terminates its respective license agreement, we may not be able to develop or commercialize JSP191 or any other product candidates covered by these agreements. Termination of our license agreements or reduction or elimination of our rights under them may result in us having to negotiate a new or reinstated agreement, which may not be available to us on equally favorable terms, or at all, which may mean we are unable to develop, commercialize or sell the affected product candidate or may cause us to lose our rights under the agreement.</w:t>
      </w:r>
    </w:p>
    <w:p>
      <w:pPr>
        <w:spacing w:after="0" w:line="16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our licensors may make decisions in prosecuting, maintaining, enforcing and defending any licensed intellectual property rights that may not be in our best interest. Moreover, if our licensors take any action with respect to any licensed intellectual property rights, for example, any licensed patents or patent applications, that results in a successful challenge to the licensed intellectual property by a third party, such patents may be invalidated or held to be unenforceable, and we may lose our rights under such patents, which could materially harm our business.</w:t>
      </w:r>
    </w:p>
    <w:p>
      <w:pPr>
        <w:spacing w:after="0" w:line="171"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Further, the agreements under which we currently license intellectual property from third parties are complex, and certain provisions in such agreements may be susceptible to multiple interpretations. Accordingly, disputes may arise between us and our licensors regarding intellectual property subject to a license agreement.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with the necessary rights to use the intellectual property, we may be unable to successfully develop and commercialize the affected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commercial success depends on our ability to obtain, maintain and protect our intellectual property and proprietary technology.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commercial success depends in large part on our ability to obtain, maintain and protect intellectual property rights through patents, trademarks and trade secrets in the United States and other countries with respect to our proprietary product candidates. If we do not adequately protect our intellectual property rights, competitors may be able to erode, negate or preempt any competitive advantage we may have, which could harm our business and ability to achieve profitability.</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protect our proprietary position, we own and have in-licensed certain intellectual property rights, including certain issued patents and patent applications, and have filed and may file provisional and non-provisional patent applications in the United States or abroad related to our product candidates that are important to our business. Provisional patent applications are not eligible to become issued patents until, among other things, we file a non-provisional patent application within 12 months of the filing of one or more of our related provisional patent applications.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Moreover, the patent application and approval process is expensive and time-consuming. We may not be able to file and prosecute all necessary or desirable patent applications at a reasonable cost or in a timely manner.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jc w:val="both"/>
        <w:ind w:firstLine="648"/>
        <w:spacing w:after="0" w:line="263" w:lineRule="auto"/>
        <w:rPr>
          <w:sz w:val="20"/>
          <w:szCs w:val="20"/>
          <w:color w:val="auto"/>
        </w:rPr>
      </w:pPr>
      <w:r>
        <w:rPr>
          <w:rFonts w:ascii="Arial" w:cs="Arial" w:eastAsia="Arial" w:hAnsi="Arial"/>
          <w:sz w:val="18"/>
          <w:szCs w:val="18"/>
          <w:color w:val="auto"/>
        </w:rPr>
        <w:t>The patent application, prosecution, and enforcement processes are subject to numerous risks and uncertainties, and there can be no assurance that we, our licensors, or any of our future collaborators will be successful in protecting our product candidates by obtaining, defending, and/or asserting patent rights. These risks and uncertainties include the following:</w:t>
      </w:r>
    </w:p>
    <w:p>
      <w:pPr>
        <w:spacing w:after="0" w:line="184" w:lineRule="exact"/>
        <w:rPr>
          <w:sz w:val="20"/>
          <w:szCs w:val="20"/>
          <w:color w:val="auto"/>
        </w:rPr>
      </w:pPr>
    </w:p>
    <w:p>
      <w:pPr>
        <w:ind w:left="980" w:hanging="324"/>
        <w:spacing w:after="0" w:line="301"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U.S. Patent and Trademark Office (the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57" w:lineRule="exact"/>
        <w:rPr>
          <w:rFonts w:ascii="Arial" w:cs="Arial" w:eastAsia="Arial" w:hAnsi="Arial"/>
          <w:sz w:val="16"/>
          <w:szCs w:val="16"/>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our potential product candidates;</w:t>
      </w:r>
    </w:p>
    <w:p>
      <w:pPr>
        <w:spacing w:after="0" w:line="183"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3"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In some instances, agreements through which we license intellectual property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cannot be certain that patent prosecution and maintenance activities by our licensors have been or will be conducted in compliance with applicable laws and regulations or will result in valid and enforceable patents.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Moreover, some of our in-licensed patents and patent applications may be, and some of our future owned and licensed patents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patent protection we obtain for our product candidates may not be sufficient enough to provide us with any competitive advantage or our patents may be challenged.</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owned and licensed patents and pending patent applications, if issued, may not provide us with any meaningful protection or may not prevent competitors from designing around our patent claims to circumvent our patents by developing similar or alternative technologies or therapeutics in a non-infringing manner. For example, a third party may develop a competitive product that provides benefits similar to one or more of our product candidates but falls outside the scope of our patent protection or license rights.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Currently, a significant portion of our patents and patent applications are in-licensed, though similar risks would apply to any patents or patent applications that we now own or may own or in-license in the future.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71" w:name="page72"/>
    <w:bookmarkEnd w:id="71"/>
    <w:p>
      <w:pPr>
        <w:ind w:right="40" w:firstLine="648"/>
        <w:spacing w:after="0" w:line="254" w:lineRule="auto"/>
        <w:rPr>
          <w:sz w:val="20"/>
          <w:szCs w:val="20"/>
          <w:color w:val="auto"/>
        </w:rPr>
      </w:pPr>
      <w:r>
        <w:rPr>
          <w:rFonts w:ascii="Arial" w:cs="Arial" w:eastAsia="Arial" w:hAnsi="Arial"/>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9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In addition, the determination of patent rights with respect to clinical compositions of matter and treatment methods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 If these changes were to occur, they could have a material adverse effect on our ability to generate revenue.</w:t>
      </w:r>
    </w:p>
    <w:p>
      <w:pPr>
        <w:spacing w:after="0" w:line="188"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party to file a patent application is generally entitled to the patent. However, prior to March 16, 2013, in the United States, the first party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17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parties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An adverse determination in any such challenges may result in loss of the patent or in patent claims being narrowed, invalidated or held unenforceable, in whole or in part, or in denial of the patent application or loss or reduction in the scope of one or more claims of the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2" w:name="page73"/>
    <w:bookmarkEnd w:id="72"/>
    <w:p>
      <w:pPr>
        <w:ind w:firstLine="648"/>
        <w:spacing w:after="0" w:line="253" w:lineRule="auto"/>
        <w:rPr>
          <w:sz w:val="20"/>
          <w:szCs w:val="20"/>
          <w:color w:val="auto"/>
        </w:rPr>
      </w:pPr>
      <w:r>
        <w:rPr>
          <w:rFonts w:ascii="Arial" w:cs="Arial" w:eastAsia="Arial" w:hAnsi="Arial"/>
          <w:sz w:val="18"/>
          <w:szCs w:val="18"/>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or pursue similar strategies in the United States or other jurisdictions,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9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Other parties have developed or may develop technologies that may be related to or competitive with our approach, and may have filed or may file patent applications and may have been issued or may be issued patents with claims that overlap or conflict with our patent applications, either by claiming the same materials, formulations or methods, or by claiming subject matter that could dominate our patent position. In addition, certain parts or all of the patent portfolios licensed to us are, or may be, licensed to third parties and such third parties may have or may obtain certain enforcement rights. If the scope of the patent protection we or our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licensed patents have, or that any of our pending owned or licensed patent applications that mature into issued patents will include, claims with a scope sufficient to protect our product candidates or otherwise provide any competitive advantage, nor can we provide any assurance that our licenses will remain in force.</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addition to the protection afforded by patents, we rely upon trade secret protection, know-how and continuing technological innovation to develop and maintain our competitive position. We seek to protect our proprietary technology and processes, in part, by entering into confidentiality agreements with our contractors, collaborators, scientific advisors, employees and consultants and invention assignment agreements with our consultants and employees.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of confidentiality agreements and other contractual restrictions. Monitoring unauthorized uses and disclosures is difficult and we do not know whether the steps we have taken to protect our proprietary technologies will be effective. If any of the contractors, collaborators, scientific advisors, employees and consultants who are parties to these agreements breaches or violates the terms of any of these agreements, we may not have adequate remedies for any such breach or violation. As a result, we could lose our trade secrets. Enforcing a claim against a third party that illegally obtained and is using our trade secrets, like patent litigation, is expensive and time-consuming and the outcome is unpredictable. In addition, courts outside the United States are sometimes less willing or unwilling to protect trade secrets. Any of the foregoing could have a material adverse effect on our business, financial condition, results of operations, and prospects.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3" w:name="page74"/>
    <w:bookmarkEnd w:id="73"/>
    <w:p>
      <w:pPr>
        <w:ind w:right="80" w:firstLine="648"/>
        <w:spacing w:after="0" w:line="271" w:lineRule="auto"/>
        <w:rPr>
          <w:sz w:val="20"/>
          <w:szCs w:val="20"/>
          <w:color w:val="auto"/>
        </w:rPr>
      </w:pPr>
      <w:r>
        <w:rPr>
          <w:rFonts w:ascii="Arial" w:cs="Arial" w:eastAsia="Arial" w:hAnsi="Arial"/>
          <w:sz w:val="17"/>
          <w:szCs w:val="17"/>
          <w:color w:val="auto"/>
        </w:rPr>
        <w:t>Moreover, our trade secrets could otherwise become known or be independently discovered by our competitors or other third parties.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Our company name and logo, as well as our product candidate names “JSP191” and “JSP502”, are not registered trademarks. If we seek to register any of our trademarks,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4" w:name="page75"/>
    <w:bookmarkEnd w:id="74"/>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be successful in acquiring or in-licensing necessary rights to key technologies underlying JSP191 or any future product candidates we may develop.</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currently have rights to intellectual property, through licenses from third parties, to develop JSP191, and we expect to seek to expand our intellectual property footprint related to our product candidate pipeline in part by in-licensing the rights to key technologies. The future growth of our business will depend in part on our ability to in-license or otherwise acquire the rights to develop additional product candidates and technologies. Although we have succeeded in licensing technologies from third-party licensors, including Amgen Inc. and Stanford, in the past, we can give no assurance that we will be able to in-license or acquire the rights to other technologies relevant to our product candidates from third parties on acceptable terms or at all.</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market our product candidates, we may find it necessary or prudent to obtain licenses from such third-party intellectual property holders. However, it may be unclear who owns the rights to intellectual property we wish to obtain, or we may be unable to secure such licenses or otherwise acquire or in-license intellectual property rights from third parties that we identify as necessary for product candidates we may develop and technology we employ. For example, we employ a range of genome engineering technologies that are owned by third parties in our preclinical studies, as well as to manufacture the supply of eHSCs or other cell therapies used for clinical trials and, if approved, for commercialization of our product candidates. We currently conduct our preclinical research and clinical trials under 35 U.S.C. § 271(e)(1), which provides a safe harbor from patent infringement for uses of patented technology reasonably related to the development and submission of information under a federal law which regulates the manufacture, use, or sale of drugs.</w:t>
      </w:r>
    </w:p>
    <w:p>
      <w:pPr>
        <w:spacing w:after="0" w:line="19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licensing or acquisition of third-party intellectual property rights is a highly competitive area, and other companies may pursue strategies to license or acquire third-party intellectual property rights that we may consider attractive or necessary. Such companies may have a competitive advantage over us, e.g.,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Even if we were able to obtain such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violations may prevent or delay our product discovery and development efforts and have a material adverse effect on our business.</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Our commercial success depends in part on us avoiding infringement, misappropriation and other violations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and reexamination proceedings before the USPTO or oppositions and other comparable proceedings in foreign jurisdictions. Recently, under U.S. patent reform, new procedures including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 grant review have been implemented. This reform will bring uncertainty to the possibility of challenge to our patents in the future. Numerous U.S.-and foreign-issued patents and pending patent applications, which are owned by third parties, exist in the fields in which we are developing our product candidates, and third parties may allege they have patent rights encompassing our product candidates, technologies or methods. Third parties may assert that we are employing their proprietary technology without authorization and may file patent infringement claims or lawsuits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5" w:name="page76"/>
    <w:bookmarkEnd w:id="75"/>
    <w:p>
      <w:pPr>
        <w:ind w:right="40" w:firstLine="648"/>
        <w:spacing w:after="0" w:line="268" w:lineRule="auto"/>
        <w:rPr>
          <w:sz w:val="20"/>
          <w:szCs w:val="20"/>
          <w:color w:val="auto"/>
        </w:rPr>
      </w:pPr>
      <w:r>
        <w:rPr>
          <w:rFonts w:ascii="Arial" w:cs="Arial" w:eastAsia="Arial" w:hAnsi="Arial"/>
          <w:sz w:val="17"/>
          <w:szCs w:val="17"/>
          <w:color w:val="auto"/>
        </w:rPr>
        <w:t>There may be third-party patents with patent rights to materials, formulations, methods of manufacture or methods of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Further, we or our licensors may fail to identify even those relevant third-party patents that have issued or may incorrectly interpret the relevance, scope or expiration of such patents. The scope of a patent claim is determined by an interpretation of the law, the written disclosure in a patent and the patent’s prosecution history. Our interpretation of the relevance or scope of a patent or a pending application may be incorrect. If any third-party patents were held by a court of competent jurisdiction to cover the manufacturing process of our product candidates, materials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materials, formulations or methods, including without limitation,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w:t>
      </w:r>
    </w:p>
    <w:p>
      <w:pPr>
        <w:spacing w:after="0" w:line="18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involve a substantial diversion of employee resources from our business. We may not have sufficient resources to bring these actions to a successful conclusion, which may result in significant cost and may impede our inability to pursue any affected products or product candidates.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6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Any of the intellectual property rights that we have licensed or may license in the future and that have been generated through the use of U.S. government funding are subject to certain federal regulations. As a result, the U.S. government may have certain rights to intellectual property embodied in our current or future product candidates pursuant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would have the right to require us to grant exclusive, partially exclusive, or non-exclusive licenses to any such intellectual property rights to a third party if it determines that:</w:t>
      </w:r>
    </w:p>
    <w:p>
      <w:pPr>
        <w:spacing w:after="0" w:line="178"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adequate steps have not been taken to commercialize the invention;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government action is necessary to meet public health or safety needs;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government action is necessary to meet requirements for public use under federal regulations (also referred to as “march-in rights”).</w:t>
      </w:r>
    </w:p>
    <w:p>
      <w:pPr>
        <w:spacing w:after="0" w:line="237"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jc w:val="both"/>
        <w:ind w:right="120" w:firstLine="648"/>
        <w:spacing w:after="0" w:line="286" w:lineRule="auto"/>
        <w:rPr>
          <w:sz w:val="20"/>
          <w:szCs w:val="20"/>
          <w:color w:val="auto"/>
        </w:rPr>
      </w:pPr>
      <w:r>
        <w:rPr>
          <w:rFonts w:ascii="Arial" w:cs="Arial" w:eastAsia="Arial" w:hAnsi="Arial"/>
          <w:sz w:val="16"/>
          <w:szCs w:val="16"/>
          <w:color w:val="auto"/>
        </w:rPr>
        <w:t>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Any of the foregoing may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580" w:firstLine="648"/>
        <w:spacing w:after="0" w:line="291" w:lineRule="auto"/>
        <w:rPr>
          <w:sz w:val="20"/>
          <w:szCs w:val="20"/>
          <w:color w:val="auto"/>
        </w:rPr>
      </w:pPr>
      <w:r>
        <w:rPr>
          <w:rFonts w:ascii="Arial" w:cs="Arial" w:eastAsia="Arial" w:hAnsi="Arial"/>
          <w:sz w:val="16"/>
          <w:szCs w:val="16"/>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w:t>
      </w:r>
    </w:p>
    <w:p>
      <w:pPr>
        <w:ind w:right="200"/>
        <w:spacing w:after="0" w:line="290" w:lineRule="auto"/>
        <w:rPr>
          <w:sz w:val="20"/>
          <w:szCs w:val="20"/>
          <w:color w:val="auto"/>
        </w:rPr>
      </w:pPr>
      <w:r>
        <w:rPr>
          <w:rFonts w:ascii="Arial" w:cs="Arial" w:eastAsia="Arial" w:hAnsi="Arial"/>
          <w:sz w:val="16"/>
          <w:szCs w:val="16"/>
          <w:color w:val="auto"/>
        </w:rPr>
        <w:t>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ind w:firstLine="648"/>
        <w:spacing w:after="0" w:line="273"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(PTE) and data exclusivity for JSP191 or any other product candidates we may develop, our business may be materially harmed.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employ individuals who were previously employed at universities or other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Any of the foregoing would harm our business, financial condition, results of operations, and prospects.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Other Legal Compliance Matters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any of our product candidates are approved, an unfavorable reimbursement determination in any of the major markets could have a negative impact on us. Further, an unfavorable change in such regimes (e.g., price controls) could have a negative impact on us.</w:t>
      </w:r>
    </w:p>
    <w:p>
      <w:pPr>
        <w:spacing w:after="0" w:line="14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product candidates we may develop obtain marketing approval.</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in May 2019, the Centers for Medicare &amp; Medicaid Services (“CMS”) issued a final rule to allow Medicare Advantage Plans the option of using step therapy, a type of prior authorization for Medicare Party B drugs, beginning January 1, 2020. This final rule codified CMS’s policy change that was effective January 1, 2019.</w:t>
      </w:r>
    </w:p>
    <w:p>
      <w:pPr>
        <w:spacing w:after="0" w:line="166"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Congress and the Biden administration have each indicated that it will continue to seek new legislative and/or administrative measures to control drug costs. Individual states in the U.S.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At the state level, legislatures have become increasingly aggressive in passing legislation and implementing regulations designed to control pharmaceutical and biological product pricing. Some of these measures include price or patient reimbursement constraints, discounts, restrictions on certain product access, marketing cost disclosure and transparency measures, and, in some cases, measures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Also, increasingly, third-party payors are requiring that drug companies provide them with predetermined discounts from list prices and are challenging the prices charged for medical products. We cannot 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U.S. Any such reductions could negatively impact our net product sales, if any of our product candidates are ever approved.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79" w:name="page80"/>
    <w:bookmarkEnd w:id="79"/>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8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FDA and other regulatory agencies closely regulate the post 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 label use, and if we do not market our medicines for their approved indications, we may be subject to enforcement action for off 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later discovery of previously unknown problems with our medicines, third-party manufacturers, or manufacturing processes, or failure to comply with regulatory requirements, may yield various results, including:</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requirements to conduct post marketing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80" w:name="page81"/>
    <w:bookmarkEnd w:id="80"/>
    <w:p>
      <w:pPr>
        <w:ind w:right="120" w:firstLine="648"/>
        <w:spacing w:after="0" w:line="279" w:lineRule="auto"/>
        <w:rPr>
          <w:sz w:val="20"/>
          <w:szCs w:val="20"/>
          <w:color w:val="auto"/>
        </w:rPr>
      </w:pPr>
      <w:r>
        <w:rPr>
          <w:rFonts w:ascii="Arial" w:cs="Arial" w:eastAsia="Arial" w:hAnsi="Arial"/>
          <w:sz w:val="17"/>
          <w:szCs w:val="17"/>
          <w:color w:val="auto"/>
        </w:rPr>
        <w:t>Additionally, if any of our product candidates receives marketing approval, the FDA could require it to adopt a Risk Evaluation and Mitigation Strategy,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any of our product candidates, several potentially significant negative consequences could result, including:</w:t>
      </w:r>
    </w:p>
    <w:p>
      <w:pPr>
        <w:spacing w:after="0" w:line="171"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 is administered or conduct additional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including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184"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including certain laws and regulations applicable only if we have marketed products, include, but are not limited to, the following:</w:t>
      </w:r>
    </w:p>
    <w:p>
      <w:pPr>
        <w:spacing w:after="0" w:line="192" w:lineRule="exact"/>
        <w:rPr>
          <w:sz w:val="20"/>
          <w:szCs w:val="20"/>
          <w:color w:val="auto"/>
        </w:rPr>
      </w:pPr>
    </w:p>
    <w:p>
      <w:pPr>
        <w:ind w:left="980" w:hanging="324"/>
        <w:spacing w:after="0" w:line="296"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federal healthcare program Anti-Kickback Statute, which prohibits, among other things, persons or entities from knowingly and willfully soliciting, receiving, offering, or providing any remuneration (including any kickback, bribe or certain rebates), directly or indirectly, in cash or in kind, to induce, or in return for, either the referral of an individual, for the purchase, lease, order or recommendation of any item, good, facility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161" w:lineRule="exact"/>
        <w:rPr>
          <w:rFonts w:ascii="Arial" w:cs="Arial" w:eastAsia="Arial" w:hAnsi="Arial"/>
          <w:sz w:val="16"/>
          <w:szCs w:val="16"/>
          <w:color w:val="auto"/>
        </w:rPr>
      </w:pPr>
    </w:p>
    <w:p>
      <w:pPr>
        <w:ind w:left="980" w:hanging="324"/>
        <w:spacing w:after="0" w:line="273"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federal false claims, including the False Claims Act that can be enforced through whistleblower actions, false statements and civil monetary penalties laws, which prohibit, among other things, any person or entity from knowingly presenting, or causing to be presented, a false or fraudulent claim for payment of government funds or knowingly making, or causing to be made, a false record or statement material to a false or fraudulent claim to get a false claim paid or to avoid, decrease or conceal an obligation to pay money to the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77" w:lineRule="exact"/>
        <w:rPr>
          <w:rFonts w:ascii="Arial" w:cs="Arial" w:eastAsia="Arial" w:hAnsi="Arial"/>
          <w:sz w:val="17"/>
          <w:szCs w:val="17"/>
          <w:color w:val="auto"/>
        </w:rPr>
      </w:pPr>
    </w:p>
    <w:p>
      <w:pPr>
        <w:ind w:left="980" w:right="40" w:hanging="324"/>
        <w:spacing w:after="0" w:line="25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prohibits, among other things, executing, or attempting to execute, a scheme to defraud any healthcare benefit program or making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81" w:name="page82"/>
    <w:bookmarkEnd w:id="81"/>
    <w:p>
      <w:pPr>
        <w:ind w:left="980" w:right="20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4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Food, Drug, and Cosmetic Act, which among other things, strictly regulates drug marketing, prohibits manufacturers from marketing such products for off-label use and regulates the distribution of samples;</w:t>
      </w:r>
    </w:p>
    <w:p>
      <w:pPr>
        <w:spacing w:after="0" w:line="170" w:lineRule="exact"/>
        <w:rPr>
          <w:rFonts w:ascii="Arial" w:cs="Arial" w:eastAsia="Arial" w:hAnsi="Arial"/>
          <w:sz w:val="18"/>
          <w:szCs w:val="18"/>
          <w:color w:val="auto"/>
        </w:rPr>
      </w:pPr>
    </w:p>
    <w:p>
      <w:pPr>
        <w:ind w:left="980" w:right="580" w:hanging="324"/>
        <w:spacing w:after="0" w:line="263"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83" w:lineRule="exact"/>
        <w:rPr>
          <w:rFonts w:ascii="Arial" w:cs="Arial" w:eastAsia="Arial" w:hAnsi="Arial"/>
          <w:sz w:val="18"/>
          <w:szCs w:val="18"/>
          <w:color w:val="auto"/>
        </w:rPr>
      </w:pPr>
    </w:p>
    <w:p>
      <w:pPr>
        <w:ind w:left="980" w:hanging="324"/>
        <w:spacing w:after="0" w:line="25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within the U.S. Department of Health and Human Services, information related to payments or other transfers of value made during the previous year to physicians, (defined to include doctors, dentists, optometrists, podiatrists and chiropractors) and teaching hospitals, as well as ownership and investment interests held by physicians and their immediate family members. Beginning in 2022, such obligations include payments and other transfers of value provided in the previous year to certain other healthcare professionals, including physician assistants, nurse practitioners, clinical nurse specialists, certified nurse anesthetists, anesthesiologist assistants and certified nurse midwives; and</w:t>
      </w:r>
    </w:p>
    <w:p>
      <w:pPr>
        <w:spacing w:after="0" w:line="191" w:lineRule="exact"/>
        <w:rPr>
          <w:rFonts w:ascii="Arial" w:cs="Arial" w:eastAsia="Arial" w:hAnsi="Arial"/>
          <w:sz w:val="18"/>
          <w:szCs w:val="18"/>
          <w:color w:val="auto"/>
        </w:rPr>
      </w:pPr>
    </w:p>
    <w:p>
      <w:pPr>
        <w:ind w:left="980" w:right="8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be broader in scope and apply to healthcare items or services that are reimbursed by non-governmental third-party payors, including private insurers.</w:t>
      </w:r>
    </w:p>
    <w:p>
      <w:pPr>
        <w:spacing w:after="0" w:line="14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Certain state laws also require the reporting of information related to drug pricing. Further, certain state and local laws require the registration of pharmaceutical sales representatives.</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Given the breadth of the laws and regulations and evolving government interpretations of the laws and regulations, governmental authorities may possibly conclude that our business practices, including certain of our advisory board arrangements with physicians, some of whom are compensated in the form of stock or stock options, may not comply with healthcare laws and regulations. If our operations are found to be in violation of any of the laws described above or any other government regulations that apply to us, we may be subject to significant penalties, including administrative, civil and criminal penalties, damages, fines, disgorgement, exclusion from participation in government health care programs, such as Medicare and Medicaid, imprisonment, integrity oversight and reporting obligations, contractual damages, reputational harm, diminished profits and future earnings, and the curtailment or restructuring of our operations, any of which could adversely affect our business, financial condition, results of operations, and prospects.</w:t>
      </w:r>
    </w:p>
    <w:p>
      <w:pPr>
        <w:spacing w:after="0" w:line="165"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European Union has strict laws governing the provision of benefits or advantages to healthcare professionals in order to induce or encourage the prescription, recommendation, endorsement, purchase, supply, order or use of medicinal products. Such laws and associated codes of practice set out the rules and requirements that the provision of hospitality, sponsorship, gifts and promotional items must meet before they can be accepted by healthcare professionals. The provision of benefits or advantages to healthcare professionals is also governed by the national anti-bribery laws of European Union Member States. Infringement of these laws could result in substantial fines and imprisonment.</w:t>
      </w:r>
    </w:p>
    <w:p>
      <w:pPr>
        <w:spacing w:after="0" w:line="176" w:lineRule="exact"/>
        <w:rPr>
          <w:sz w:val="20"/>
          <w:szCs w:val="20"/>
          <w:color w:val="auto"/>
        </w:rPr>
      </w:pPr>
    </w:p>
    <w:p>
      <w:pPr>
        <w:ind w:right="420" w:firstLine="648"/>
        <w:spacing w:after="0" w:line="296" w:lineRule="auto"/>
        <w:rPr>
          <w:sz w:val="20"/>
          <w:szCs w:val="20"/>
          <w:color w:val="auto"/>
        </w:rPr>
      </w:pPr>
      <w:r>
        <w:rPr>
          <w:rFonts w:ascii="Arial" w:cs="Arial" w:eastAsia="Arial" w:hAnsi="Arial"/>
          <w:sz w:val="16"/>
          <w:szCs w:val="16"/>
          <w:color w:val="auto"/>
        </w:rPr>
        <w:t>Payments made to healthcare professionals in certain European Union Member States may be publicly disclosed. Moreover, agreements with healthcare professionals often must be the subject of prior notification and approval by the healthcare professionals’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ind w:right="20"/>
        <w:spacing w:after="0" w:line="308" w:lineRule="auto"/>
        <w:rPr>
          <w:sz w:val="20"/>
          <w:szCs w:val="20"/>
          <w:color w:val="auto"/>
        </w:rPr>
      </w:pPr>
      <w:r>
        <w:rPr>
          <w:rFonts w:ascii="Arial" w:cs="Arial" w:eastAsia="Arial" w:hAnsi="Arial"/>
          <w:sz w:val="17"/>
          <w:szCs w:val="17"/>
          <w:b w:val="1"/>
          <w:bCs w:val="1"/>
          <w:i w:val="1"/>
          <w:iCs w:val="1"/>
          <w:color w:val="auto"/>
        </w:rPr>
        <w:t>Healthcare and other reform legislation, may increase the difficulty and cost for us and any collaborators we may have to obtain marketing approval of and commercialize JSP191 and any other product candidates we may develop and affect the prices we, or they, may obtain.</w:t>
      </w:r>
    </w:p>
    <w:p>
      <w:pPr>
        <w:spacing w:after="0" w:line="1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JSP191 and any other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Within the United States, the federal government and individual states have aggressively pursued healthcare reform, as evidenced by the passing of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There are, and may continue to be, judicial challenges, including review by the United States Supreme Court. We cannot predict the ultimate content, timing or effect of any changes to the ACA or other federal and state reform efforts.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spacing w:after="0" w:line="18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Federal and state governments have shown significant interest in implementing cost-containment programs to limit the growth of government-paid healthcare costs, including price controls, waivers from Medicaid drug rebate law requirements, restrictions on reimbursement and requirements for substitution of generic products for branded prescription drugs. The private sector has also sought to control healthcare costs by limiting coverage or reimbursement or requiring discounts and rebates on products. 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could significantly decrease the available coverage and the price we might establish for our potential products, which would have an adverse effect on our net revenues and operating results.</w:t>
      </w:r>
    </w:p>
    <w:p>
      <w:pPr>
        <w:spacing w:after="0" w:line="17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for biological products will be changed, or what the impact of such changes on the marketing approvals of our product candidates, if any, may be. In addition, increased scrutiny by the U.S. Congress of the FDA’s approval and decision-making processes may significantly delay or prevent marketing approval, as well as subject us to more stringent product labeling and post-marketing testing and other requirements.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To those ends,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It remains to be seen whether these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3" w:name="page84"/>
    <w:bookmarkEnd w:id="83"/>
    <w:p>
      <w:pPr>
        <w:ind w:right="120" w:firstLine="648"/>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84" w:name="page85"/>
    <w:bookmarkEnd w:id="84"/>
    <w:p>
      <w:pPr>
        <w:ind w:right="14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2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may be subject to numerous laws and regulations in each jurisdiction outside of the United States in which we may operate. The creation, implementation and maintenance of international business practices compliance programs is costly and such programs are difficult to enforce, particularly where reliance on third parties is required.</w:t>
      </w:r>
    </w:p>
    <w:p>
      <w:pPr>
        <w:spacing w:after="0" w:line="18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and results of operations.</w:t>
      </w:r>
    </w:p>
    <w:p>
      <w:pPr>
        <w:spacing w:after="0" w:line="184"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(the “GDPR”), which took effect across all member states of the European Economic Area (the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ind w:right="40" w:firstLine="648"/>
        <w:spacing w:after="0" w:line="267"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 which went into effect on January 1, 2020 — is creating similar risks and obligations as those created by the GDPR, though the California Consumer Privacy Act does exempt certain information collected as part of a clinical trial subject to the Federal Policy for the Protection of Human Subjects (the Common Rule). In March 2020, the California State Attorney General proposed varying versions of companion draft regulations which are not yet finalized. Despite the delay in adopting regulations, the California State Attorney General commenced enforcement actions against violators beginning July 1, 2020. In addition, a new California privacy law, the California Privacy Rights Act (the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Further, a new Virginia privacy law, Virginia Consumer Data Protection Act, or VCDPA, was signed into law on March 2, 2021 and is also scheduled to take effect on January 1, 2023, and the Colorado Privacy Act, or CPA, will take effect on July 1, 2023. The VCDPA and CPA will impose many similar obligations regarding the processing and storing of personal information as the California Consumer Privacy Act and the CPRA.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business.</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and results of operations.</w:t>
      </w:r>
    </w:p>
    <w:p>
      <w:pPr>
        <w:spacing w:after="0" w:line="19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We and our partners may be subject to stringent privacy laws, information security laws, regulations, policies and contractual obligations related to data privacy and security, and changes in such laws, regulations, policies or how they are interpreted or changes in contractual obligations could adversely affect our business.</w:t>
      </w:r>
    </w:p>
    <w:p>
      <w:pPr>
        <w:spacing w:after="0" w:line="184"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There are numerous U.S. federal and state data privacy and protection laws and regulations that apply to the collection, transmission, processing,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6" w:name="page87"/>
    <w:bookmarkEnd w:id="86"/>
    <w:p>
      <w:pPr>
        <w:ind w:right="180" w:firstLine="648"/>
        <w:spacing w:after="0" w:line="296" w:lineRule="auto"/>
        <w:rPr>
          <w:sz w:val="20"/>
          <w:szCs w:val="20"/>
          <w:color w:val="auto"/>
        </w:rPr>
      </w:pPr>
      <w:r>
        <w:rPr>
          <w:rFonts w:ascii="Arial" w:cs="Arial" w:eastAsia="Arial" w:hAnsi="Arial"/>
          <w:sz w:val="16"/>
          <w:szCs w:val="16"/>
          <w:color w:val="auto"/>
        </w:rPr>
        <w:t>If we are unable to properly protect the privacy and security of health-related information or other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w:t>
      </w:r>
    </w:p>
    <w:p>
      <w:pPr>
        <w:spacing w:after="0" w:line="16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are subject to recently enacted state laws in California that require gender and diversity quotas for boards of directors of public companies headquartered in California.</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September 2018, California enacted Senator Bill 826 (“SB 826”), which generally requires public companies with principal executive offices in California to have at least two female directors on its board of directors if the company has at least five directors, and at least three female directors on its board of directors if the company has at least six directors.</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Additionally, on September 30, 2020, California enacted Assembly Bill 979 (“AB 979”), which generally requires public companies with principal executive offices in California to include specified numbers of directors from “underrepresented communities”. A director from an “underrepresented community” means a director who self-identifies as Black, African American, Hispanic, Latino, Asian, Pacific Islander, Native American, Native Hawaiian, Alaska Native, gay, lesbian, bisexual or transgender. By December 31, 2021, each public company with principal executive offices in California was required to have at least one director from an underrepresented community. By December 31, 2022, a public company with more than four but fewer than nine directors will be required to have a minimum of two directors from underrepresented communities, and a public company with nine or more directors will need to have a minimum of three directors from underrepresented communities.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cannot assure that we can recruit, attract and/or retain qualified members of the board and meet gender and diversity quotas as required</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by with SB 826 or AB 979, and our board of directors does not currently satisfy the quota required under SB 826. A failure to comply with either SB 826 or AB 979 could result in fines from the California Secretary of State, with a $100,000 fine for the first violation and a $300,000 fine for each subsequent violation of either law, and our reputation may be adversely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If we lose key management personnel, or if we fail to recruit additional highly skilled personnel, our ability to continue developing and to identify and develop new or next generation product candidates will be impaired, which could result in delays in the development process, loss of market opportunities, make us less competitive and have a material adverse effect on our business, financial condition and results of operations.</w:t>
      </w:r>
    </w:p>
    <w:p>
      <w:pPr>
        <w:spacing w:after="0" w:line="149"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ability to compete in the highly competitive biotechnology and pharmaceutical industries depends upon our ability to attract and retain highly qualified managerial, scientific and medical personnel. We are highly dependent on our management, particularly our Chief Executive Officer, the members of our executive team, and key scientific and medical personnel employees. The loss of the services of any of our executive officers, key employees, and scientific and medical advisors, and our inability to find suitable replacements, could result in delays in product development and harm our business.</w:t>
      </w:r>
    </w:p>
    <w:p>
      <w:pPr>
        <w:spacing w:after="0" w:line="157"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conduct our operations at our facility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7" w:name="page88"/>
    <w:bookmarkEnd w:id="87"/>
    <w:p>
      <w:pPr>
        <w:ind w:right="20" w:firstLine="648"/>
        <w:spacing w:after="0" w:line="253"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In addition,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Although we have employment agreements with our key employees, these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1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i w:val="1"/>
          <w:iCs w:val="1"/>
          <w:color w:val="auto"/>
        </w:rPr>
        <w:t>We and our management have a limited track record as an operating company. Failures in the operational execution of the expected business plans may have a material impact on our commercial prospects. Further, if we are not able to attract and retain highly-qualified personnel, we may not be able to successfully implement our business strategy.</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management team has worked together for only a limited period of time and has a limited track record of executing our business plan as a team. In addition, we have recently filled a number of positions in our finance and accounting staff. Accordingly, certain key personnel have only recently assumed the duties and responsibilities they are now performing, and it is difficult to predict whether our management team, individually and collectively, will be effective in operating our business. These changes may cause speculation and uncertainty regarding our commercial prospects and may cause or result in:</w:t>
      </w:r>
    </w:p>
    <w:p>
      <w:pPr>
        <w:spacing w:after="0" w:line="188"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 of our business or distraction of our employees and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difficulty in recruiting, hiring, motivating, and retaining talented and skilled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difficulty in negotiating, maintaining, or consummating business or strategic relationships or transactions.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we are unable to mitigate these risks or to attract and retain highly qualified personnel, our revenue, operating results and financial condition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jc w:val="both"/>
        <w:ind w:right="500" w:firstLine="648"/>
        <w:spacing w:after="0" w:line="311" w:lineRule="auto"/>
        <w:rPr>
          <w:sz w:val="20"/>
          <w:szCs w:val="20"/>
          <w:color w:val="auto"/>
        </w:rPr>
      </w:pPr>
      <w:r>
        <w:rPr>
          <w:rFonts w:ascii="Arial" w:cs="Arial" w:eastAsia="Arial" w:hAnsi="Arial"/>
          <w:sz w:val="16"/>
          <w:szCs w:val="16"/>
          <w:color w:val="auto"/>
        </w:rPr>
        <w:t>As of December 31, 2021, we had 25 full-time employees. As our development, manufacturing and commercialization plans and strategies develop and we continue our operations as a public company, we expect to need and are actively recruiting additional managerial, operational, sales, marketing, financial and other personnel. Future growth would impose significant added responsibilities on members of management, including:</w:t>
      </w:r>
    </w:p>
    <w:p>
      <w:pPr>
        <w:spacing w:after="0" w:line="149"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international regulatory review process for our product candidates, while complying with our contractual obligations to contractors and other third parties;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time to managing these growth activities.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88" w:name="page89"/>
    <w:bookmarkEnd w:id="88"/>
    <w:p>
      <w:pPr>
        <w:ind w:firstLine="648"/>
        <w:spacing w:after="0" w:line="288"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regulatory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We cannot assure you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if we are not able to effectively build out new facilities to accommodate this expansion, we may not be able to successfully implement the tasks necessary for further development and commercialization of our product candidates and, accordingly, may not achieve our research, development and commercialization goals.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policies may be inadequate and potentially expose us to unrecoverable risks.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limited director and officer insurance and commercial insurance policies. Any significant insurance claims would have a material adverse effect on our business, financial condition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We have observed rapidly changing conditions in the insurance markets relating to nearly all areas of traditional corporate insurance. Such conditions have resulted in higher premium costs, higher policy deductibles and lower coverage limits. For some risks, we may not have or maintain insurance coverage because of cost or availability.</w:t>
      </w:r>
    </w:p>
    <w:p>
      <w:pPr>
        <w:spacing w:after="0" w:line="19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14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if such an event were to occur and cause interruptions in our operations, it could result in a disruption of our development programs and our business operations, whether due to a loss of our trade secrets or other proprietary information or other disruptions. For example, the loss of clinical trial data from future clinical trials could result in delays in our regulatory approval efforts and significantly increase our costs to recover or reproduce the data. If we were to experience a significant cybersecurity breach of our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7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Although we take such steps to help protect confidential and other sensitive information from unauthorized access or disclosure, our information technology and infrastructure may be vulnerable to attacks by hackers or viruses, failures, or breaches due to third-party action, employee negligence or error, malfeasance, or other incidents or disruptions. For example, we could be the target of phishing attacks seeking confidential information regarding our employees. Furthermore, while we have implemented data privacy and security measures in an effort to comply with applicable laws and regulations relating to privacy and data protection, some health-related and other personal information or confidential information may be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health-related and other personal information or confidential information to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ind w:right="40" w:firstLine="648"/>
        <w:spacing w:after="0" w:line="296" w:lineRule="auto"/>
        <w:rPr>
          <w:sz w:val="20"/>
          <w:szCs w:val="20"/>
          <w:color w:val="auto"/>
        </w:rPr>
      </w:pPr>
      <w:r>
        <w:rPr>
          <w:rFonts w:ascii="Arial" w:cs="Arial" w:eastAsia="Arial" w:hAnsi="Arial"/>
          <w:sz w:val="16"/>
          <w:szCs w:val="16"/>
          <w:color w:val="auto"/>
        </w:rPr>
        <w:t>To the extent that we or these third parties are found to have violated such laws, rules or regulations or that any disruption or security breach were to result in a loss of, or damage to, us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2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widely reported, global credit and financial markets have experienced volatility and disruptions in the past several years and especially in 2020 and 2021 due to the impacts of the COVID-19 pandemic, including severely diminished liquidity and credit availability, declines in consumer confidence, declines in economic growth, increases in unemployment rates and uncertainty about economic stability. There can be no assurances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share price and could require us to delay or abandon clinical development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Warrants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our operations and performance do not meet the expectations of investors or securities analysts or for other reasons, the market price of our securities may decline.</w:t>
      </w:r>
    </w:p>
    <w:p>
      <w:pPr>
        <w:spacing w:after="0" w:line="17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225" w:lineRule="exact"/>
        <w:rPr>
          <w:rFonts w:ascii="Arial" w:cs="Arial" w:eastAsia="Arial" w:hAnsi="Arial"/>
          <w:sz w:val="18"/>
          <w:szCs w:val="18"/>
          <w:color w:val="auto"/>
        </w:rPr>
      </w:pPr>
    </w:p>
    <w:p>
      <w:pPr>
        <w:ind w:left="980" w:right="40" w:hanging="324"/>
        <w:spacing w:after="0" w:line="263"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impacts of the ongoing COVID-19 pandemic and related restrictions;</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commencement, enrollment or results of any future clinical trials we may conduct, or changes in the development status of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 results from, delays in or termination of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than expected market acceptance of our product candidates following approval for commercialization;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stock market price and volume fluctuations of comparable companies and, in particular, those that operate in the biopharmaceutical industry;</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90" w:name="page91"/>
    <w:bookmarkEnd w:id="90"/>
    <w:p>
      <w:pPr>
        <w:ind w:left="980" w:right="44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investors’ general perception of our business or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rights, including patents, litigation matters and our ability to obtain, maintain, defend, protect and enforce patent and other intellectual property rights for our technologies;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proposed changes to healthcare laws in the U.S. or foreign jurisdictions, or speculation regarding such changes;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In addition, the stock market in general, Nasdaq and pharmaceutical companies in particular have experienced extreme price and volume fluctuations that have often been unrelated or disproportionate to the operating performance of these companies. Broad market and industry factors may negatively affect the market price of our securities, regardless of our actual operating performance.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Insiders have substantial control over us, which could limit your ability to affect the outcome of key transactions, including a change of control.</w:t>
      </w:r>
    </w:p>
    <w:p>
      <w:pPr>
        <w:spacing w:after="0" w:line="24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December 31, 2021, our directors and executive officers and their affiliates beneficially owned approximately 36.9% of the outstanding shares of our common stock. As a result, these stockholders, if they act together, will be able to influence our management and affairs and all matters requiring stockholder approval, including the election of directors and approval of significant corporate transactions, such as a merger or other sale of our company or our assets. This concentration of ownership may have the effect of delaying or preventing a change in control of our company or discouraging a potential acquirer from making a tender offer or otherwise attempting to obtain control, even if that change in control would benefit our other stockholders. This significant concentration of ownership may also adversely affect the trading price for our common stock because investors often perceive disadvantages in owning stock in companies with controlling stockholders.</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expenses and administrative burdens as a public company, which could negatively impact our business, financial condition and results of operations.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we did not incur as a private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we had not done previously. For example, we have adopted new charters for our board committees and adopted some new disclosure controls and procedures. In addition, expenses associated with SEC reporting requirements will be incurred. 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us. It may also be more expensive to obtain director and officer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our business and achieve strategic objectives. Advocacy efforts by stockholders and third parties may also prompt additional changes in governance and reporting requirements, which could further increase costs.</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91" w:name="page92"/>
    <w:bookmarkEnd w:id="91"/>
    <w:p>
      <w:pPr>
        <w:ind w:right="120"/>
        <w:spacing w:after="0" w:line="277" w:lineRule="auto"/>
        <w:rPr>
          <w:sz w:val="20"/>
          <w:szCs w:val="20"/>
          <w:color w:val="auto"/>
        </w:rPr>
      </w:pPr>
      <w:r>
        <w:rPr>
          <w:rFonts w:ascii="Arial" w:cs="Arial" w:eastAsia="Arial" w:hAnsi="Arial"/>
          <w:sz w:val="18"/>
          <w:szCs w:val="18"/>
          <w:b w:val="1"/>
          <w:bCs w:val="1"/>
          <w:i w:val="1"/>
          <w:iCs w:val="1"/>
          <w:color w:val="auto"/>
        </w:rPr>
        <w:t>Our failure to timely and effectively implement controls and procedures required by Section 404(a) of the Sarbanes-Oxley Act could negatively impact our business.</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Absent an applicable exemption, we are required to provide a management’s attestation on internal controls over financial reporting, and we were not previously required to do this as a private company. The standards required for a public company under Section 404(a) of the Sarbanes-Oxley Act are significantly more stringent than those required of us when we were a privately held company. Management may not be able to effectively and timely implement controls and procedures that adequately respond to the increased regulatory compliance and reporting requirements.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19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an “emerging growth company” as defined in Section 2(a)(19) of the U.S. Securities Act of 1933, as amended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earlier of (i) the last day of the fiscal year (a) following November 22, 2024, (b) in which we have total annual gross revenue of at least $1.07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$1.00 billion in non-convertible debt securities during the prior three-year period.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opted to take advantage of the exemption for complying with new or revised accounting standards within the same time periods as private companies,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2" w:name="page93"/>
    <w:bookmarkEnd w:id="92"/>
    <w:p>
      <w:pPr>
        <w:ind w:right="60" w:firstLine="648"/>
        <w:spacing w:after="0" w:line="271"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If we cease to be an emerging growth company and do not qualify as a smaller reporting company, we will no longer be able to take advantage of certain exemptions from reporting discussed above, including not being able to take advantage of extended transition periods for the adoption of new or modified accounting standards, and, absent other exemptions or relief available from the SEC, we will also be required to comply with the auditor attestation requirements of Section 404 of the Sarbanes-Oxley Act if we are no longer a non-accelerated filer at such time. We will incur additional expenses in connection with such compliance, and our management will need to devote additional time and effort to implement and comply with such requirements.</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4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financial analysts publish about us or our business. Securities and industry analysts do not currently, and may never, publish research on us. If no or few analysts commence coverage of us, the trading price of our securities would likely decrease. Even if we do obtain analyst coverage, if one or more of the analysts covering our business downgrade their evaluations of our securities, the price of our securities could decline. If one or more of these analysts cease to cover our securities, we could lose visibility in the market for our securities, which in turn could cause the price of our securities to decline.</w:t>
      </w:r>
    </w:p>
    <w:p>
      <w:pPr>
        <w:spacing w:after="0" w:line="17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stockholders in the public market, the issuance of rights to purchase our common stock, including pursuant to the Equity Incentive Plan and the ESPP, and future exercises of registration rights could result in the additional dilution of the percentage ownership of our stockholders and cause the market price for our common stock to decline.</w:t>
      </w:r>
    </w:p>
    <w:p>
      <w:pPr>
        <w:spacing w:after="0" w:line="165"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The sale of shares of our common stock, convertible securities or other equity securities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In addition, if we sell shares of our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6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Pursuant to the Jasper Therapeutics, Inc. 2021 Equity Incentive Plan (the “Equity Incentive Plan”), which became effective on September 23, 2021, we are authorized to grant equity awards to our employees, directors and consultants. In addition, pursuant to the Jasper Therapeutics, Inc. 2021 Employee Stock Purchase Plan (the “ESPP”), which became effective on September 23, 2021, we are authorized to sell shares to our employees. A total of up to 4,400,000 and up to 550,000 shares of our common stock were initially reserved for future issuance under the Equity Incentive Plan and the ESPP, respectively. In addition, the Equity Incentive Plan and ESPP provide for annual automatic increases in the number of shares reserved thereunder, in each case, beginning on January 1, 2022. On January 1, 2022, pursuant to the foregoing provisions, 1,514,204 and 378,551 shares of common stock were added to the shares reserved for future issuance under the Equity Incentive Plan and the ESPP, respectively. As a result of such annual increases, our stockholders may experience additional dilution, which could cause the price of our common stock to fall.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3" w:name="page94"/>
    <w:bookmarkEnd w:id="93"/>
    <w:p>
      <w:pPr>
        <w:ind w:right="20" w:firstLine="648"/>
        <w:spacing w:after="0" w:line="290" w:lineRule="auto"/>
        <w:rPr>
          <w:sz w:val="20"/>
          <w:szCs w:val="20"/>
          <w:color w:val="auto"/>
        </w:rPr>
      </w:pPr>
      <w:r>
        <w:rPr>
          <w:rFonts w:ascii="Arial" w:cs="Arial" w:eastAsia="Arial" w:hAnsi="Arial"/>
          <w:sz w:val="16"/>
          <w:szCs w:val="16"/>
          <w:color w:val="auto"/>
        </w:rPr>
        <w:t>As of December 31, 2021, options to purchase an aggregate of 2,660,261 shares of our common stock were outstanding that were previously issued under the Jasper Therapeutics, Inc. 2019 Equity Incentive Plan (the “2019 EIP”). We assumed the 2019 Plan in connection with the Business Combination and no further awards will be granted under the 2019 EIP. However, shares of our common stock subject to outstanding awards granted under the 2019 EIP that (a) are not issued because the award or any portion of the award expires or otherwise terminates without all of the shares covered by the award having been issued, (b) are withheld or reacquired to satisfy the exercise, strike or purchase price or (c) are withheld or reacquired to satisfy a tax withholding obligation will also be added to the number of shares of our common stock available for issuance pursuant to the Equity Incentive Plan. As of December 31, 2021, a total of 22,480 shares of common stock had been added to the number of shares of our common stock available for issuance pursuant to the Equity Incentive Plan as a result of the cancellation of certain options previously granted under the 2019 EIP.</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Pursuant to the Amended and Restated Registration Rights Agreement entered into in connection with the Business Combination, certain of our stockholders can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our other securities. We filed a registration statement on October 18, 2021 in order to satisfy the foregoing obligations and registered for resale an aggregate of 38,081,493 shares of our common stock, including up to 5,000,000 shares of our common stock issuable upon exercise of our outstanding warrants. The registration of these securities permits the public sale of such securities, subject to certain contractual restrictions on transfer imposed by the Amended and Restated Registration Rights Agreement and the Business Combination Agreement, which contractual restrictions on transfer will terminate on March 23, 2022. The presence of these additional shares of our common stock trading in the public market may have an adverse effect on the market price of our securities.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our stockholders.</w:t>
      </w:r>
    </w:p>
    <w:p>
      <w:pPr>
        <w:spacing w:after="0" w:line="165"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Because there are no current plans to pay cash dividends on our common stock for the foreseeable future, you may not receive any return on investment unless you sell shares of our common stock for a price greater than that which you paid for it.</w:t>
      </w:r>
    </w:p>
    <w:p>
      <w:pPr>
        <w:spacing w:after="0" w:line="1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stock unless you sell your shares of our common stock for a price greater than that which you paid for it.</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Certificate of Incorporation and under Delaware law could make an acquisition of us, which may be beneficial to our stockholders, more difficult and may prevent attempts by our stockholders to replace or remove our current management.</w:t>
      </w:r>
    </w:p>
    <w:p>
      <w:pPr>
        <w:spacing w:after="0" w:line="124"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Second Amended and Restated Certificate of Incorporation (our “Certificate of Incorporation”) contains provisions that could delay or prevent a change of control of us or changes in our board of directors that our stockholders might consider favorable. Some of these provisions include:</w:t>
      </w:r>
    </w:p>
    <w:p>
      <w:pPr>
        <w:spacing w:after="0" w:line="124" w:lineRule="exact"/>
        <w:rPr>
          <w:sz w:val="20"/>
          <w:szCs w:val="20"/>
          <w:color w:val="auto"/>
        </w:rPr>
      </w:pPr>
    </w:p>
    <w:p>
      <w:pPr>
        <w:ind w:left="980" w:right="1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our board of directors will be elected at one time;</w:t>
      </w:r>
    </w:p>
    <w:p>
      <w:pPr>
        <w:spacing w:after="0" w:line="170" w:lineRule="exact"/>
        <w:rPr>
          <w:rFonts w:ascii="Arial" w:cs="Arial" w:eastAsia="Arial" w:hAnsi="Arial"/>
          <w:sz w:val="18"/>
          <w:szCs w:val="18"/>
          <w:color w:val="auto"/>
        </w:rPr>
      </w:pPr>
    </w:p>
    <w:p>
      <w:pPr>
        <w:ind w:left="980" w:right="80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70"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our board of directors, the chief executive officer, the president, or by a majority of the total number of authorized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4" w:name="page95"/>
    <w:bookmarkEnd w:id="94"/>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25" w:lineRule="exact"/>
        <w:rPr>
          <w:rFonts w:ascii="Arial" w:cs="Arial" w:eastAsia="Arial" w:hAnsi="Arial"/>
          <w:sz w:val="18"/>
          <w:szCs w:val="18"/>
          <w:color w:val="auto"/>
        </w:rPr>
      </w:pPr>
    </w:p>
    <w:p>
      <w:pPr>
        <w:ind w:left="980" w:right="60" w:hanging="324"/>
        <w:spacing w:after="0" w:line="26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3"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on terms determined by our board of directors without stockholder approval and which preferred stock may include rights superior to the rights of the holders of our common stock.</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DGCL, which may prohibit certain business combinations with stockholders owning 15% or more of our outstanding voting stock. These anti-takeover provisions and other provisions in our Certificate of Incorporation and Second Amended and Restated Bylaws (our “Bylaws”) could make it more difficult for stockholders or potential acquirors to obtain control of our board of directors or initiate actions that are opposed by our then-current board of directors and could also delay or impede a merger, tender offer, or proxy contest involving us.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Certificate of Incorporation or Bylaws; (iv) any action or proceeding to interpret, apply, enforce, or determine the validity of our Certificate of Incorporation or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the federal district courts of the</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United States of America shall be exclusive forum for resolving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 provisions may not be enforced by a court in those other jurisdictions.</w:t>
      </w:r>
    </w:p>
    <w:p>
      <w:pPr>
        <w:spacing w:after="0" w:line="19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In addition, a stockholder that is unable to bring a claim in the judicial forum of its choosing may be required to incur additional costs in the pursuit of actions that are subject to these exclusive forum provisions, particularly if the stockholder does not reside in or near Delaware.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Certificate of Incorporation to be inapplicable or unenforceable in an action, we may incur further significant additional costs associated with resolving such action in other jurisdictions, all of which could seriously harm our business.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5" w:name="page96"/>
    <w:bookmarkEnd w:id="95"/>
    <w:p>
      <w:pPr>
        <w:ind w:right="40"/>
        <w:spacing w:after="0" w:line="277" w:lineRule="auto"/>
        <w:rPr>
          <w:sz w:val="20"/>
          <w:szCs w:val="20"/>
          <w:color w:val="auto"/>
        </w:rPr>
      </w:pPr>
      <w:r>
        <w:rPr>
          <w:rFonts w:ascii="Arial" w:cs="Arial" w:eastAsia="Arial" w:hAnsi="Arial"/>
          <w:sz w:val="18"/>
          <w:szCs w:val="18"/>
          <w:b w:val="1"/>
          <w:bCs w:val="1"/>
          <w:i w:val="1"/>
          <w:iCs w:val="1"/>
          <w:color w:val="auto"/>
        </w:rPr>
        <w:t>Any exercise of the outstanding warrants to purchase shares of our common stock would increase the number of shares eligible for future resale in the public market and result in dilution to our stockholders.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Outstanding warrants to purchase an aggregate of 4,999,883 shares of our common stock became exercisable in accordance with the terms of the Warrant Agreement, dated November 19, 2019, between Continental Stock Transfer &amp; Trust Company, as warrant agent, and us (the “Warrant Agreement”) commencing on October 24, 2021 (the “Public Warrants”). The exercise price of these Public Warrants is $11.50 per share. To the extent such Public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Public Warrants may be exercised could adversely affect the prevailing market prices of our common stock. However, there is no guarantee that the Public Warrants will ever be in the money prior to their expiration, and as such, the Public Warrants may expire worthless. See below risk factor, “</w:t>
      </w:r>
      <w:r>
        <w:rPr>
          <w:rFonts w:ascii="Arial" w:cs="Arial" w:eastAsia="Arial" w:hAnsi="Arial"/>
          <w:sz w:val="16"/>
          <w:szCs w:val="16"/>
          <w:i w:val="1"/>
          <w:iCs w:val="1"/>
          <w:color w:val="auto"/>
        </w:rPr>
        <w:t>The Public</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 may never be in the money, and they may expire worthless and the terms of the Public Warrants may be amended in a manner adverse to a holder if holders of at least 50% of the then-outstanding Public Warrants approve of such amendment</w:t>
      </w:r>
      <w:r>
        <w:rPr>
          <w:rFonts w:ascii="Arial" w:cs="Arial" w:eastAsia="Arial" w:hAnsi="Arial"/>
          <w:sz w:val="16"/>
          <w:szCs w:val="16"/>
          <w:color w:val="auto"/>
        </w:rPr>
        <w:t>.”</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Public Warrants may never be in the money, they may expire worthless and the terms of the Public Warrants may be amended in a manner adverse to a holder if holders of at least 50% of the then-outstanding Public Warrants approve of such amendment.</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Public Warrants were issued in registered form under the Warrant Agreement. The Warrant Agreement provides that the terms of the Public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shares of our common stock purchasable upon exercise of a Public Warrant.</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redeem your unexpired Public Warrants prior to their exercise at a time that is disadvantageous to you, thereby making your Public Warrants worthless.</w:t>
      </w:r>
    </w:p>
    <w:p>
      <w:pPr>
        <w:spacing w:after="0" w:line="170"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share subdivisions, share dividends, rights issuances, subdivisions, reorganizations, recapitalizations, and the like) for any 20 trading days within a 30-trading-day period ending on the third trading day prior to the date we send the notice of redemption to the warrantholders.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that, at the time the outstanding Public Warrants are called for redemption, is likely to be substantially less than the market value of your Public Warrants.</w:t>
      </w:r>
    </w:p>
    <w:p>
      <w:pPr>
        <w:spacing w:after="0" w:line="181"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addition, we may redeem your Public Warrants at any time after they become exercisable and prior to their expiration at a price of $0.10 per Public Warrant upon a minimum of 30 days’ prior written notice of redemption; provided that holders will be able to exercise their Public Warrants prior to redemption for a number of our common stock determined based on the redemption date and the fair market value of our common stock. The value received upon exercise of the Public Warrants (1) may be less than the value the holders would have received if they had exercised their Public Warrants at a later time where the underlying share price is higher and (2) may not compensate the holders for the value of the Public Warrants.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lease approximately 13,392 square feet of space for our headquarters in Redwood City, California under an agreement that expires in August 2026. Thereafter, at our option, we may extend the term for an additional five years to August 2031. We believe that our existing facilities are adequate to meet our current needs, and that suitable additional alternative spaces will be available in the future on commercially reasonable terms.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currently a party to any material legal proceedings. From time to time, we may be subject to various legal proceedings and claims that arise in the ordinary course of our business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77" w:right="5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common stock and Public Warrants are currently listed on the Nasdaq Capital Market under the symbols “JSPR” and “JSPRW,” respectively. As of February 28, 2022, there were 38 holders of record of our common stock, one holder of record of our non-voting common stock and one holder of record of our Public Warrants.</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Prior to the consummation of the Business Combination, AMHC’s Class A Common Stock, units and warrants were listed on Nasdaq under the symbols “AMHCU,” “AMHC” and “AMHCW,”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never declared or paid any dividends on shares of our common stock. We anticipate that we will retain all of our future earnings, if any, to fund the development and growth of our business. Any future determination to pay dividends on our capital stock will be at the discretion of our board of directors (“Board”). It is the present intention of our Board to retain all earnings, if any, for use in our business operations and, accordingly, our Board does not anticipate declaring any dividends in the foreseeable future. Further, if we incur any indebtedness, our ability to declare dividends may be limited by restrictive covenants we may agree to in connection therewith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You should read the following discussion and analysis of our financial condition and results of operations together with our consolidated financial statements and the related notes included </w:t>
      </w:r>
      <w:r>
        <w:rPr>
          <w:rFonts w:ascii="Arial" w:cs="Arial" w:eastAsia="Arial" w:hAnsi="Arial"/>
          <w:sz w:val="18"/>
          <w:szCs w:val="18"/>
          <w:color w:val="auto"/>
        </w:rPr>
        <w:t>in Part II, Item 8 of</w:t>
      </w:r>
      <w:r>
        <w:rPr>
          <w:rFonts w:ascii="Arial" w:cs="Arial" w:eastAsia="Arial" w:hAnsi="Arial"/>
          <w:sz w:val="18"/>
          <w:szCs w:val="18"/>
          <w:i w:val="1"/>
          <w:iCs w:val="1"/>
          <w:color w:val="auto"/>
        </w:rPr>
        <w:t xml:space="preserve">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We are a clinical-stage biotechnology company dedicated to enabling cures through hematopoietic stem cell therapy. We are focused on the development and commercialization of safer and more effective conditioning agents and stem cell engineering to allow for expanded use of stem cell transplantation and ex vivo gene therapy, a technique in which genetic manipulation of cells is performed outside of the body prior to transplantation.</w:t>
      </w:r>
    </w:p>
    <w:p>
      <w:pPr>
        <w:spacing w:after="0" w:line="149"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Our drug development pipeline includes multiple product candidates designed to improve hematopoietic stem cell therapy. Our lead product candidate, JSP191, is in clinical development as a novel conditioning antibody that clears hematopoietic stem cells from bone marrow in patients prior to undergoing allogeneic stem cell therapy or stem cell gene therapy. We are also developing engineered hematopoietic stem cells (“eHSC”) product candidates reprogrammed using mRNA delivery and gene editing that have a competitive advantage over endogenous hematopoietic stem cells (“HSCs”) because they permit higher levels of engraftment without the need for toxic conditioning of the patient and with potentially lower risk of other serious complications seen with current stem cell transplants. We also plan to continue to expand our pipeline to include other novel stem cell therapies based on immune modulation, graft engineering or cell and gene therapies. Our goal is to expand the use of curative stem cell transplant and gene therapies for all patients, including children and the elderly.</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Stem cell transplantation is among the most widely practiced forms of cellular therapy and has the potential to cure a wide variety of diseases, including cancers, genetic disorders and autoimmune diseases. A stem cell transplant procedure involves three main steps: (i) stem cells from the patient’s or donor’s bone marrow are collected; (ii) the patient’s bone marrow is cleared of any remaining stem cells in order to make space to receive new transplanted stem cells, which is known as conditioning; and (iii) the new stem cells are transplanted into the patient via infusion where they fasten to, or engraft in, the bone marrow and grow into the blood and immune cells that form the basis of reset and rebuilt blood and immune systems. Transplants are either allogeneic or autologous, depending on the source of the new stem cells for the transplant. In an allogeneic transplant, patients receive cells from a stem cell donor. In an autologous transplant, the patient’s own stem cells are used. Autologous transplants also include stem cell gene therapies, where cells are collected from the patient, edited to either enable a functioning gene or correct a defective gene, and then transplanted into the patient via infusion. Our programs span both allogeneic and gene therapy-based autologous transplants, with initial sponsored programs in JSP191 based on an allogeneic approach.</w:t>
      </w:r>
    </w:p>
    <w:p>
      <w:pPr>
        <w:spacing w:after="0" w:line="166"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Currently, patients must receive highly toxic and potentially life-threatening conditioning agents to prepare their bone marrow for transplantation with either donor stem cells or their own gene-edited stem cells. Younger, fitter patients capable of surviving these toxic side effects are typically given myeloablative, or high-intensity, conditioning whereas older or less fit patients are typically given reduced intensity, but still toxic, conditioning which leads to less effective transplants. These toxicities include a range of acute and chronic effects to the gastrointestinal tract, kidneys, liver, lung, endocrine, and neurologic tissues. Depending upon the conditioning regimen, fitness of the patient, and compatibility between the donor and recipient, the risk of transplant-related mortality ranges from 10% to more than 50% in older patients. Less toxic ways to condition patients have been developed to enable transplant for older patients or those with major comorbidities, but these regimens risk less potent disease elimination and higher rates of disease relapse. Even though stem cell therapy can be one of the most powerful forms of disease cure, these limitations of non-targeted conditioning regimens have seen little innovation over the past decade.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lead product candidate, JSP191, is a monoclonal antibody designed to block a specific survival signal on stem cells and is in development as a highly targeted conditioning agent prior to stem cell therapy. We are developing JSP191 for severe combined immunodeficiency (“SCID”) for which we are currently conducting an open label Phase 1/2 clinical trial in two cohorts of SCID patients: patients with a history of a prior allogeneic transplant for SCID but with poor graft outcomes and newly diagnosed SCID patients. The primary endpoint in Phase 1 is to evaluate the safety and tolerability of JSP191. The two primary efficacy endpoints in Phase 2 are the proportion of subjects achieving adequate donor HSC engraftment and the proportion of subjects achieving naïve T cell production greater than or equal to 85 cells/uL, a level expected to provide immune reconstitution, during weeks 36 to 104 post-transplant. Based on preliminary results from our ongoing Phase 1/2 clinical trial, we believe JSP191 has demonstrated the ability as a single agent to enable engraftment of donor HSCs as determined by donor chimerism, or the percentage of bone marrow cells in the patient that are of donor origin after transplant. Six out of the first nine non-IL2RG patients with prior allogeneic transplant achieved donor engraftment, naïve donor T cell production and demonstrated clinical improvement. No JSP191 treatment-related serious adverse events (“SAEs”) have been reported to date and pharmacokinetics have been consistent with earlier studies in healthy volunteers. We expect to complete enrollment in this Phase 1/2 clinical trial by mid-2023.</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9" w:name="page100"/>
    <w:bookmarkEnd w:id="99"/>
    <w:p>
      <w:pPr>
        <w:ind w:right="540" w:firstLine="648"/>
        <w:spacing w:after="0" w:line="308" w:lineRule="auto"/>
        <w:rPr>
          <w:sz w:val="20"/>
          <w:szCs w:val="20"/>
          <w:color w:val="auto"/>
        </w:rPr>
      </w:pPr>
      <w:r>
        <w:rPr>
          <w:rFonts w:ascii="Arial" w:cs="Arial" w:eastAsia="Arial" w:hAnsi="Arial"/>
          <w:sz w:val="17"/>
          <w:szCs w:val="17"/>
          <w:color w:val="auto"/>
        </w:rPr>
        <w:t>The FDA has granted rare pediatric disease designation to JSP191 as a conditioning treatment for patients with SCID. In addition, the FDA granted orphan drug designation to JSP191 for conditioning treatment prior to hematopoietic stem cell transplantation.</w:t>
      </w:r>
    </w:p>
    <w:p>
      <w:pPr>
        <w:spacing w:after="0" w:line="14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We also are evaluating JSP191 in an open label Phase 1 clinical trial in patients with myelodysplastic syndrome (“MDS”) or acute myeloid leukemia (“AML”) that were transplant eligible but still had trace evidence of leukemic cells that can remain in a patient after chemotherapy, or minimal residual disease (“MRD”), as detected by cytogenetics, flow cytometry or next-generation sequencing. The primary endpoints are to evaluate the safety, tolerability and pharmacokinetic parameters of JSP191. In the initial dose finding Phase 1a portion of this clinical trial, 0.6 mg/kg JSP191-based conditioning was well tolerated in all six MDS/AML patients as of December 31, 2021. Furthermore, it led to successful engraftment as demonstrated by sustained blood neutrophil count of &gt;500 x 10^6 / L (Wolff 2002) in all six patients. Additionally, five of the six patients demonstrated elimination of all diseased cells at day 90 (MRD) by multiple methods of detection, a secondary endpoint of the clinical study. The next portion of the clinical trial, a Phase 1b dose expansion cohort has completed enrollment. Initial results from the first seventeen patients show that 0.6 mg/kg JSP191-based conditioning was well tolerated with all seventeen patients achieving successful engraftment. These initial results also show that twelve of fifteen Phase 1a and 1b patients with MRD at screening achieved clearance of MRD. No JSP191 related serious adverse events have been reported. As of reporting of these initial results, four patients have come off study, two due to relapse or disease progression, one due to late onset Grade 3 acute Graft vs Host Disease (GvHD) and one due to secondary graft failure. We expect to present additional data from this study in the first half of 2022.</w:t>
      </w:r>
    </w:p>
    <w:p>
      <w:pPr>
        <w:spacing w:after="0" w:line="16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entered into a clinical collaboration with Stanford University to study JSP191-based conditioning in patients with Fanconi anemia. This study is currently open for patient recruitment. We are also collaborating with the National Institutes of Health to conduct clinical trials of JSP191-based conditioning in patients with sickle cell disease (“SCD”), with chronic granulomatous disease and with GATA-2 mutated MDS. We believe that JSP191 may also be useful for conditioning in allogenic transplant for other diseases beyond which we are currently studying, including autoimmune diseases. We also believe that targeted JSP191-based conditioning may improve the efficacy and safety of gene therapies. We are working with Graphite Bio, Inc. (“Graphite Bio”) for gene therapy in patients with X-linked severe combined immunodeficiency (“X-SCID”) first as a non-clinical collaboration with an option to expand to clinical trials,as well as with Aruvant Sciences GmbH (“Aruvant Sciences”) for gene therapy in patients with SCD and with AVROBIO Inc. (“Avrobio”) for gene therapy in patients with Gaucher disease.</w:t>
      </w:r>
    </w:p>
    <w:p>
      <w:pPr>
        <w:spacing w:after="0" w:line="17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We plan to evaluate JSP191 as a therapeutic for certain patients with proliferative disorders of the hematopoietic stem cell. MDS is a heterogeneous disorder of the bone marrow which typically occurs in an older population and can progress to AML. The Revised International Prognostic Scoring System (“IPSS-R”) is a clinical assessment tool used to evaluate risk and prognosis of newly diagnosed patients. Patients with IPSS-R scores of low or very low are not typically referred to stem cell transplant due to the risk of transplant-related toxicities from current conditioning regiments, infection and GvHD outweighing the patient’s expected survival with drug therapies. These patients typically suffer from anemia, thrombocytopenia or neutropenia and are given drug therapies such as an erythropoiesis stimulating agent (“ESA”) to stimulate production of new cells to correct their blood deficiency. However, these agents do not target the diseased hematopoietic stem cell and patients who become refractory to ESA are dependent on routine blood transfusions, which is associated with poor survival. ESA-refractory low-risk MDS patients have few treatment options and are a clinical unmet need.</w:t>
      </w:r>
    </w:p>
    <w:p>
      <w:pPr>
        <w:spacing w:after="0" w:line="19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JSP191 and other anti-CD117 monoclonal antibodies have been shown to deplete normal and diseased MDS human hematopoietic stem cells in clinical and pre-clinical studies. In studies of non-human primates and healthy volunteers, administration of a single dose of JSP191 resulted in depletion of healthy hematopoietic stem cells followed by recovery in approximately six weeks. Additional recent clinical data in MDS patients undergoing stem cell transplant showed depletion of hematopoietic stem cells after administration of JSP191 alone. By depleting diseased and healthy hematopoietic stem cells, we believe that JSP191 may allow for preferential recovery of healthy hematopoietic stem cells and restoration of normal hematopoiesis. We intend to study JSP191 monotherapy in low-risk MDS patients with documented cytopenia who are refractory to ESA therapy.</w:t>
      </w:r>
    </w:p>
    <w:p>
      <w:pPr>
        <w:spacing w:after="0" w:line="1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eHSC platform is designed to overcome key limitations of stem cell transplant and stem cell gene therapy. By using mRNA delivery and/or gene editing, we believe we can reprogram donor or gene corrected stem cells to have a transient proliferative and survival advantage over the patient’s existing cells. We believe initial preclinical experiments by Jasper demonstrate multiple different mRNAs can be used to improve engraftment of modified stem cells. One example are eHSCs that express certain variants of CXCR4 that may lead to improved stem cell homing and engraftment in the bone marrow. Another example includes expression of a modified stem cell factor receptor that can lead to cell line proliferation independent of stem cell factor (“SCF”) concentration, enabling our eHSCs to outcompete unmodified HSCs through better survival and engraftment. Also, since JSP191 only blocks signaling through the stem cell factor receptor, these eHSCs are not affected by JSP191 when used in combination. Other initial experiments have shown that mRNA can be used to express these receptor variants on the cell surface. We have also identified other potential receptor modifications that prevent the binding of JSP191 but retain the ability to bind SCF, therefore allowing the eHSCs to proliferate normally even in the presence of JSP191.</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0" w:name="page101"/>
    <w:bookmarkEnd w:id="100"/>
    <w:p>
      <w:pPr>
        <w:ind w:right="80" w:firstLine="648"/>
        <w:spacing w:after="0" w:line="255" w:lineRule="auto"/>
        <w:rPr>
          <w:sz w:val="20"/>
          <w:szCs w:val="20"/>
          <w:color w:val="auto"/>
        </w:rPr>
      </w:pPr>
      <w:r>
        <w:rPr>
          <w:rFonts w:ascii="Arial" w:cs="Arial" w:eastAsia="Arial" w:hAnsi="Arial"/>
          <w:sz w:val="18"/>
          <w:szCs w:val="18"/>
          <w:color w:val="auto"/>
        </w:rPr>
        <w:t>We intend to become a fully integrated discovery, development and commercial company in the field of hematopoietic stem cell therapy. We are developing our product candidates to be used individually or, in some cases, in combination with one another. As a result, we believe our pipeline could be tailored to the patient-specific disease so that a patient may receive more than one of our therapies as part of his or her individual allogeneic or gene-edited stem cell therapy. Our goal is to advance our product candidates through regulatory approval and bring them to the commercial market based on the data from our clinical trials and communications with regulatory agencies and payor communities. We expect to continue to advance our pipeline and innovate through our research platform.</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an exclusive license agreement with Amgen Inc. (“Amgen”) for the development and commercialization of the JSP191 monoclonal antibody in all indications and territories worldwide. We also have an exclusive license agreement with Stanford for the right to use JSP191 in the clearance of stem cells prior to the transplantation of HSCs. We also entirely own the intellectual property for our eHSC platform, which has been internally developed.</w:t>
      </w:r>
    </w:p>
    <w:p>
      <w:pPr>
        <w:spacing w:after="0" w:line="187"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AMHC was incorporated in the State of Delaware in August 2019. Old Jasper was incorporated in the State of Delaware in March 2018 and did not have any significant operations or research and development activities until November 2019, when it entered into a license agreement with Amgen for a license to certain patents and know-how related to Amgen’s proprietary monoclonal antibody known as AMG 191, which we later renamed as JSP191.</w:t>
      </w:r>
    </w:p>
    <w:p>
      <w:pPr>
        <w:spacing w:after="0" w:line="1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Since Old Jasper’s inception in March 2018, we have devoted substantially all of our resources to performing research and development, enabling manufacturing activities in support of our product development efforts, hiring personnel, acquiring and developing our technology and product candidates, performing business planning, establishing our intellectual property portfolio, raising capital and providing general and administrative support for these activities. We do not have any products approved for sale and have not generated any revenue from product sales. We expect to continue to incur significant and increasing expenses and substantial losses for the foreseeable future as we continue our development of and seek regulatory approvals for our product candidates and commercialize any approved products, seek to expand our product pipeline and invest in our organization. We expect to incur increased expenses associated with operating as a public company, including significant legal, audit, accounting, regulatory, tax-related, director and officer insurance, investor relations and other expenses.</w:t>
      </w:r>
    </w:p>
    <w:p>
      <w:pPr>
        <w:spacing w:after="0" w:line="178"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We have incurred significant losses and negative cash flows from operations since our inception. During the years ended December 31, 2021 and 2020, we incurred net losses of $30.6 million and $31.7 million, respectively. We generated negative operating cash flows of $33.7 million and $18.3 million for the years ended December 31, 2021 and 2020, respectively. As of December 31, 2021, we had an accumulated deficit of $67.5 million.</w:t>
      </w:r>
    </w:p>
    <w:p>
      <w:pPr>
        <w:spacing w:after="0" w:line="14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had cash and cash equivalents of $84.7 million as of December 31, 2021. Given our recurring losses from operations and negative cash flows, and based on our current operating plan, these funds would not be sufficient to fund our operations in the foreseeable future and we will need to raise additional financing. As a result, we concluded that there is substantial doubt about our ability to continue as a going concern within one year after the date when our consolidated financial statements included in Part II, Item 8 of this Annual Report on Form 10-K are issued.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management plans to monitor expenses and raise additional capital through a combination of public and private equity, debt financings, strategic alliances, and licensing arrangements. Our ability to access capital when needed is not assured and, if capital is not available to us when, and in the amounts needed,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harm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We expect our expenses will increase substantially in connection with our ongoing and planned activities, as we:</w:t>
      </w:r>
    </w:p>
    <w:p>
      <w:pPr>
        <w:spacing w:after="0" w:line="225"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product candidates through preclinical studies and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procure the manufacture of supplies for our preclinical studies and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acquire, discover, validate, and develop additional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attract, hire and retain additional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implement operational, financial and management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pursue regulatory approval for any product candidates that successfully complete clinical trials;</w:t>
      </w:r>
    </w:p>
    <w:p>
      <w:pPr>
        <w:spacing w:after="0" w:line="225"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 and related commercial manufacturing build-out;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 maintain, expand, and protect our portfolio of intellectual property rights.</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We do not currently own or operate any manufacturing facility. We rely on contract manufacturing organizations (“CMOs”) to produce our drug candidates in accordance with the FDA’s current good manufacturing practices (“cGMP”) regulations for use in our clinical studies. Under our license agreement with Amgen, we received a substantial amount of drug product to support initiation of our planned clinical trials of JSP191. Since November 2019, we have entered into development and manufacturing agreements with Lonza Sales AG (“Lonza”) relating to the manufacturing of JSP191 drug substance and drug product and product quality testing. The facility of Lonza in Slough, United Kingdom is responsible for production and testing of drug substance. The facility of Lonza in Stein, Switzerland is responsible for production and testing of drug product. Labelling, packaging and storage of finished drug product is provided by PCI Pharma Services, in San Diego, California.</w:t>
      </w:r>
    </w:p>
    <w:p>
      <w:pPr>
        <w:spacing w:after="0" w:line="17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then we may be unable to continue our operations at planned levels and may be forced to reduce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the COVID-19 Pandemic</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March 2020, the World Health Organization declared the global COVID-19 outbreak a pandemic. The global COVID-19 pandemic continues to evolve rapidly, including with respect to the spread of variants, and we will continue to monitor it closely. While our operations to date have not been significantly impacted by the COVID-19 pandemic, we cannot at this time predict the specific extent, duration, or full impact that the continuing COVID-19 pandemic will have on our business, financial condition and operations, including ongoing and planned clinical trials and clinical development timelines, particularly as we advance our product candidates to clinical development, the continued spread of COVID-19 and its variants, including Omicron, and the measures taken by the governmental authorities could disrupt the supply chain and the manufacture or shipment of drug substances and finished drug products for our product candidates for use in our clinical trials, impede our clinical trial initiation and recruitment and the ability of patients to continue in clinical trials, impede testing, monitoring, data collection and analysis and other related activities. The COVID-19 pandemic could also potentially affect the business of the FDA or other regulatory authorities, which could result in delays in meetings related to our ongoing and planned clinical trials. We experienced slower than anticipated patient enrollment in our SCID clinical trial in 2020 due to reluctance of these immunocompromised patients to travel and undergo hospitalization during the pandemic. We may continue to experience interruptions to our clinical trials due to the COVID-</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19 pandemic. The impact of the COVID-19 pandemic on our financial performance will depend on future developments, including the duration and spread of the pandemic, its impact on our clinical trial enrollment, trial sites, contract research organizations (“CROs”), CMOs, and other third parties with whom we do business, its impact on regulatory authorities and our key scientific and management personnel, progress of vaccination and related governmental advisories and restrictions. These developments and the impact of the COVID-19 pandemic on the financial markets and the overall economy are highly uncertain and cannot be predicted. If the financial markets or the overall economy are impacted for an extended period, our business may be materially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On September 24, 2021 (the “Closing Date”), we consummated the previously announced Business Combination pursuant to the terms of the Business Combination Agreement, dated as of May 5, 2021 (the “BCA”), by and among AMHC, Merger Sub, and Old Jasper. Pursuant to the terms of the BCA, on the Closing Date, (i) Merger Sub merged with and into Old Jasper (the “Merger”), with Old Jasper as the surviving company in the Merger, and, after giving effect to the Merger, Old Jasper became a wholly-owned subsidiary of AMHC and changed its name to “Jasper Tx Corp.”, and (ii) AMHC changed its name to “Jasper Therapeutics, Inc.”.</w:t>
      </w:r>
    </w:p>
    <w:p>
      <w:pPr>
        <w:spacing w:after="0" w:line="18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In addition, as previously disclosed, concurrently with the execution of the BCA, on May 5, 2021, AMHC entered into Subscription Agreements with certain investors (the “PIPE Investors”), pursuant to which the PIPE Investors agreed to subscribe for and purchase, and AMHC agreed to issue and sell to the PIPE Investors, an aggregate of 10,000,000 shares of AMHC’s Class A Common Stock at a price of $10.00 per share, for aggregate gross proceeds of $100.0 million (the “PIPE Financing”). The PIPE Financing was consummated concurrently with the closing of the Business Combination.</w:t>
      </w:r>
    </w:p>
    <w:p>
      <w:pPr>
        <w:spacing w:after="0" w:line="15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accordance with the BCA, at the closing of the Business Combination, each share of Old Jasper common stock and Old Jasper redeemable convertible preferred stock outstanding immediately prior to the closing was automatically cancelled, extinguished and converted into a number of shares of our common stock or, in certain circumstances, our non-voting common stock, based on Old Jasper’s equity value of $275.0 million divided by $10.00. The exchange ratio agreed between the parties was one-for-0.282378 share of our common stock for all Old Jasper stockholders, except for Amgen. Amgen’s 100 shares of Old Jasper Series A-2 redeemable convertible preferred stock were converted into 2,200,000 shares of our voting common stock, which represented 8% of the Old Jasper equity value, as per the terms of the letter agreement with Amgen. Each vested and unvested option to purchase shares of Old Jasper common stock outstanding at the closing was converted into a comparable option to purchase shares of our common stock, with the same terms after giving effect of the exchange ratio of one-for-0.282378. Each unvested award of restricted shares of Old Jasper common stock outstanding immediately prior to the closing was converted into a comparable right to receive restricted shares of our common stock, after giving effect to the same exchange ratio.</w:t>
      </w:r>
    </w:p>
    <w:p>
      <w:pPr>
        <w:spacing w:after="0" w:line="18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connection with the Business Combination, immediately prior to the closing, (i) Amplitude Healthcare Holdings LLC (the “Sponsor”) forfeited 200,000 shares of AMHC’s Class B Common Stock, (ii) each share of AMHC’s Class B Common Stock outstanding was converted into one share of AMHC’s Class A Common Stock, and (iii) following such conversion, an aggregate of 13,037,901 shares of AMHC’s Class A Common Stock (inclusive of 10,000,000 shares AMHC’s Class A Common Stock that were issued to the PIPE Investors) was converted into an equivalent number of shares of our common stock. In accordance with the Sponsor Support Agreement among us, the Sponsor and Old Jasper, dated May 5, 2021 and amended on September 24, 2021, 1,050,000 shares of our common stock held by the Sponsor were placed in escrow (the “Earnout Shares”) and will be released as follows: (a) 250,000 Earnout Shares will be released if, during the period from and after September 24, 2021 until the September 24, 2024 (the “Earnout Period”), over any twenty trading days within any thirty-day consecutive trading day period, the volume-weighted average price of our common stock (the “Applicable VWAP”) is greater than or equal to $11.50, (b) 500,000 Earnout Shares will be released if, during the Earnout Period, the Applicable VWAP is greater than or equal to $15.00, and (c) 300,000 Earnout Shares will be released if, during the Earnout Period, the Applicable VWAP is greater than or equal to $18.00.</w:t>
      </w:r>
    </w:p>
    <w:p>
      <w:pPr>
        <w:spacing w:after="0" w:line="16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We also have outstanding publicly traded warrants to purchase 4,999,883 shares of our common stock (the “Common Stock Warrants”), all of which were issued in connection with AMHC’s initial public offering, and entitle a holder to purchase one share of our common stock at an exercise price of $11.50 per share. The Common Stock Warrants are publicly traded and exercisable during the exercise period, which commenced on October 24, 2021 and ends on September 24, 2026, unless the Common Stock Warrants are redeemed or we extend the exercise period.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ind w:right="80" w:firstLine="648"/>
        <w:spacing w:after="0" w:line="263" w:lineRule="auto"/>
        <w:rPr>
          <w:sz w:val="20"/>
          <w:szCs w:val="20"/>
          <w:color w:val="auto"/>
        </w:rPr>
      </w:pPr>
      <w:r>
        <w:rPr>
          <w:rFonts w:ascii="Arial" w:cs="Arial" w:eastAsia="Arial" w:hAnsi="Arial"/>
          <w:sz w:val="18"/>
          <w:szCs w:val="18"/>
          <w:color w:val="auto"/>
        </w:rPr>
        <w:t>We are authorized to issue 490,000,000 shares of voting common stock, 2,000,000 shares of non-voting common stock, and 10,000,000 shares of preferred stock, each with $0.0001 par value per share. There were 36,559,092 shares of voting common stock, 1,296,022 shares of non-voting common stock and no shares of preferred stock issued and outstanding as of December 31, 2021.</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 to Note 3 in our consolidated financial statements included in Part II, Item 8 of this Annual Report on Form 10-K for further details on the accounting for this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Amgen License Agreement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21, 2019, we entered into a license agreement with Amgen (the “Amgen License Agreement”) pursuant to which we obtained an exclusive, sublicensable license for certain patents, data, and non-data know-how related to Amgen’s proprietary monoclonal antibody known as AMG191, as renamed to JSP191. Concurrently with the execution of the license agreement, Amgen assigned to us its rights and obligations under the Investigator Sponsored Research Agreement (“ISRA”) previously entered into in June 2013 between Amgen and The Board of Trustees of the Leland Stanford Junior University (“Stanford”) related to the clinical study of JSP191.</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Under the ISRA, we received an option to negotiate a definitive license with Stanford for rights to certain Stanford intellectual property related to the study of JSP191 in exchange for an option exercise fee of $1.0 million, payable over a two-year period (the “Option”). There are no other fees due under the ISRA. We exercised the Option in June 2020, and the definitive license with Stanford was executed in March 2021. Upon exercise of the Option, the $1.0 million option exercise fee was recognized as a research and development cost. In June 2020, we and Stanford agreed that the Investigational New Drug Application (“IND”) and control of the study related to this ISRA would be transferred to us. We paid $0.4 million related to the option exercise fee during each of the years ended December 31, 2021 and 2020. Unpaid option fees liability of $0.2 million is included in current liabilities as of December 31, 2021.</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consideration for the rights granted to us under the Amgen License Agreement, we issued Amgen 100 shares of Old Jasper’s Series A-2 redeemable convertible preferred stock in November 2019, the fair value of which was estimated at $0.9 million, which was recognized as a research and development expense in the same period. These shares were converted into 2,200,000 shares of voting common stock upon the closing of the Business Combination.</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Amgen License Agreement terminates on the 10-year anniversary of the date on which the exploitation of the licensed products is no longer covered by a valid claim under a licensed patent in such country. On a country-by-country basis, upon the expiration of the term in each country with respect to the licensed products, the licenses granted to us by Amgen become fully paid and non-exclusive. We and Amgen have the right to terminate the agreement for a material breach as specified in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Stanford License Agreement</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March 2021, we entered into a license agreement with Stanford (the “Stanford License Agreement”) following the exercise of the Option in June 2020. We received a worldwide, exclusive license with a right to sublicense for JSP191 in the field of depleting endogenous blood stem cells in patients for whom hematopoietic cell transplantation is indicated. Stanford transferred to us certain know-how and patents related to JSP191. Under the terms of the Stanford License Agreement, we agreed to use commercially reasonable efforts to develop, manufacture, and sell licensed product and to develop markets for a licensed product. In addition, we agreed to use commercially reasonable efforts to meet the milestones as specified in the agreement over the next six years and must notify Stanford in writing as each milestone is met.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pay annual license maintenance fees, beginning on the first anniversary of the effective date of the Stanford License Agreement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ending upon the first commercial sale of a product, method, or service in the licensed field of use, as follows: $25,000 for each first and second year,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 for each third and fourth year, and $50,000 at each anniversary thereafter ending upon the first commercial sale. We are also obligated to pay late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stage clinical development milestones and first commercial sales milestone payments of up to $9.0 million in total. We will also pay low single-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digit royalties on net sales of licensed products, if approved.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04" w:name="page105"/>
    <w:bookmarkEnd w:id="104"/>
    <w:p>
      <w:pPr>
        <w:ind w:firstLine="648"/>
        <w:spacing w:after="0" w:line="255" w:lineRule="auto"/>
        <w:rPr>
          <w:sz w:val="20"/>
          <w:szCs w:val="20"/>
          <w:color w:val="auto"/>
        </w:rPr>
      </w:pPr>
      <w:r>
        <w:rPr>
          <w:rFonts w:ascii="Arial" w:cs="Arial" w:eastAsia="Arial" w:hAnsi="Arial"/>
          <w:sz w:val="18"/>
          <w:szCs w:val="18"/>
          <w:color w:val="auto"/>
        </w:rPr>
        <w:t>The Stanford License Agreement expires on a country-by-country basis on the last-to-expire valid claim of a licensed patent in such country. We may terminate the agreement by giving Stanford written notice at least 12 months in advance of the effective date of termination. We may also terminate the Stanford License Agreement solely with respect to any particular patent application or patent by giving Stanford written notice at least 60 days in advance of the effective date of termination. Stanford may terminate the Stanford License Agreement after 90 days written notice by Stanford, specifying a problem, including a delinquency on any report required pursuant to the agreement or any payment, missing a milestone or for a material breach, unless we remediate the problem in that 90-day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collaboration and clinical trial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with Stanford University</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Effective September 2020, we entered into a sponsored research agreement with Stanford, pursuant to which Stanford will execute a Phase 1/2 clinical trial utilizing JSP191 to treat Fanconi Anemia patients in Bone Marrow Failure requiring allogeneic transplant with non-sibling donors at Stanford Lucile Packard Children’s Hospital. As consideration for the services performed by Stanford under this agreement, we will pay Stanford a total of</w:t>
      </w:r>
    </w:p>
    <w:p>
      <w:pPr>
        <w:spacing w:after="0" w:line="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$0.9 million over approximately three years upon the achievement of the first development and clinical milestone, including FDA filings and patients’ enrollment. As of December 31, 2020, we accrued $0.3 million related to the achievement of the first milestone under this agreement, which was paid in February 2021. In February 2022, the second milestone was achieved, and we accrued an additional $0.3 million. The third milestone is based on the progress of the clinical trials and will be recognized when achieved.</w:t>
      </w:r>
    </w:p>
    <w:p>
      <w:pPr>
        <w:spacing w:after="0" w:line="19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We have other collaboration and clinical trial agreements, including with Zai Lab Limited, Graphite Bio, Aruvant Sciences and Avrobio, to study JSP191 as targeted, non-toxic conditioning for investigational gene therapies. These collaborations are non-exclusive, and we have agreed with these collaborators to provide materials to use by the collaborators in their products’ development studies and clinical studies. We also have a clinical trial agreement with the National Cancer Institute (“NCI”) for the clinical development of JSP191 for the treatment of GATA2 deficiency, whereby NCI will perform the preclinical studies and submit an IND for this indication to the FDA, and we will provide materials to use in such studies.</w:t>
      </w:r>
    </w:p>
    <w:p>
      <w:pPr>
        <w:spacing w:after="0" w:line="16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have also entered into clinical trial agreements with the National Heart, Lung, and Blood Institute (“NHLBI”) and the National Institute of Allergy and Infectious Diseases (“NIAID”), pursuant to which NHLBI and NIAID will serve as the IND sponsors of a Phase 1/2 clinical trial to evaluate JSP191 as a targeted, non-toxic conditioning regimen prior to allogeneic transplant for SCD and for chronic granulomatous disease, respectively. Each party incurs its own costs under these agreements.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105" w:name="page106"/>
    <w:bookmarkEnd w:id="105"/>
    <w:p>
      <w:pPr>
        <w:ind w:firstLine="648"/>
        <w:spacing w:after="0" w:line="263" w:lineRule="auto"/>
        <w:rPr>
          <w:sz w:val="20"/>
          <w:szCs w:val="20"/>
          <w:color w:val="auto"/>
        </w:rPr>
      </w:pPr>
      <w:r>
        <w:rPr>
          <w:rFonts w:ascii="Arial" w:cs="Arial" w:eastAsia="Arial" w:hAnsi="Arial"/>
          <w:sz w:val="18"/>
          <w:szCs w:val="18"/>
          <w:color w:val="auto"/>
        </w:rPr>
        <w:t>In August 2021, we entered into a clinical trial agreement with the National Cancer Institute (“NCI”) for the clinical development of JSP191 for the treatment of GATA2 deficiency. NCI will perform the preclinical studies and submit an IND for this indication to the FDA. We will provide materials to use in such studies.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largest component of our total operating expenses since our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CROs and investigative sites that conduct preclinical and clinical studies; the costs of acquiring and manufacturing clinical study materials and other supplies; payments under licensing and research and development agreements; other outside services and consulting costs; and facilities, information technology and overhead expenses. Research and development costs are expensed as incurred.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External research and development costs include:</w:t>
      </w:r>
    </w:p>
    <w:p>
      <w:pPr>
        <w:spacing w:after="0" w:line="225" w:lineRule="exact"/>
        <w:rPr>
          <w:sz w:val="20"/>
          <w:szCs w:val="20"/>
          <w:color w:val="auto"/>
        </w:rPr>
      </w:pPr>
    </w:p>
    <w:p>
      <w:pPr>
        <w:ind w:left="980" w:right="24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incurred under agreements with third-party CROs, CMOs and other third parties that conduct preclinical and clinical activities on our behalf and manufacture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consulting fees associated with our research and development activities;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costs associated with our research and development programs, including laboratory materials and supplies.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 research and development costs include:</w:t>
      </w:r>
    </w:p>
    <w:p>
      <w:pPr>
        <w:spacing w:after="0" w:line="225"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employee-related costs, including salaries, benefits and stock-based compensation expense for our research and development personnel;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expenses and allocated overheads incurred in connection with our research and development programs.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6" w:name="page107"/>
    <w:bookmarkEnd w:id="106"/>
    <w:p>
      <w:pPr>
        <w:ind w:left="4"/>
        <w:spacing w:after="0"/>
        <w:rPr>
          <w:sz w:val="20"/>
          <w:szCs w:val="20"/>
          <w:color w:val="auto"/>
        </w:rPr>
      </w:pPr>
      <w:r>
        <w:rPr>
          <w:rFonts w:ascii="Arial" w:cs="Arial" w:eastAsia="Arial" w:hAnsi="Arial"/>
          <w:sz w:val="18"/>
          <w:szCs w:val="18"/>
          <w:color w:val="auto"/>
        </w:rPr>
        <w:t>Our future research and development costs may vary significantly based on factors, such as:</w:t>
      </w:r>
    </w:p>
    <w:p>
      <w:pPr>
        <w:spacing w:after="0" w:line="225" w:lineRule="exact"/>
        <w:rPr>
          <w:sz w:val="20"/>
          <w:szCs w:val="20"/>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discovery and preclinical development activities;</w:t>
      </w:r>
    </w:p>
    <w:p>
      <w:pPr>
        <w:spacing w:after="0" w:line="225"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and timing of our chemistry, manufacturing and controls activities, including fulfilling cGMP-related standards and compliance, and identifying and qualifying suppliers;</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 patient clinical trial costs;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sites included in our clinical trials;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delays in adding a sufficient number of trial sites and recruiting suitable patients to participate in our clinical trials;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patient drop-out or discontinuation rates;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 up;</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timing, receipt, and terms of any approvals from applicable regulatory authorities, including the FDA and non-U.S. regulators;</w:t>
      </w:r>
    </w:p>
    <w:p>
      <w:pPr>
        <w:spacing w:after="0" w:line="236" w:lineRule="exact"/>
        <w:rPr>
          <w:rFonts w:ascii="Arial" w:cs="Arial" w:eastAsia="Arial" w:hAnsi="Arial"/>
          <w:sz w:val="17"/>
          <w:szCs w:val="17"/>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225" w:lineRule="exact"/>
        <w:rPr>
          <w:rFonts w:ascii="Arial" w:cs="Arial" w:eastAsia="Arial" w:hAnsi="Arial"/>
          <w:sz w:val="18"/>
          <w:szCs w:val="18"/>
          <w:color w:val="auto"/>
        </w:rPr>
      </w:pPr>
    </w:p>
    <w:p>
      <w:pPr>
        <w:ind w:left="324" w:hanging="324"/>
        <w:spacing w:after="0"/>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 and</w:t>
      </w:r>
    </w:p>
    <w:p>
      <w:pPr>
        <w:spacing w:after="0" w:line="225" w:lineRule="exact"/>
        <w:rPr>
          <w:rFonts w:ascii="Arial" w:cs="Arial" w:eastAsia="Arial" w:hAnsi="Arial"/>
          <w:sz w:val="18"/>
          <w:szCs w:val="18"/>
          <w:color w:val="auto"/>
        </w:rPr>
      </w:pPr>
    </w:p>
    <w:p>
      <w:pPr>
        <w:ind w:left="324" w:right="420" w:hanging="324"/>
        <w:spacing w:after="0" w:line="277" w:lineRule="auto"/>
        <w:tabs>
          <w:tab w:leader="none" w:pos="3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in light of the current COVID-19 pandemic environment.</w:t>
      </w:r>
    </w:p>
    <w:p>
      <w:pPr>
        <w:spacing w:after="0" w:line="386"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881" w:right="3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consist primarily of personnel costs and expenses, including salaries, employee benefits, stock-</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based compensation for our executive and other administrative personnel; legal services, including relating to intellectual property and corporate matters; accounting, auditing, consulting and tax services; insurance; and facility and other allocated costs not otherwise included in research and development expenses. We expect our general and administrative expenses to increase substantially for the foreseeable future as we anticipate an increase in our personnel headcount to support expansion of research and development activities, as well as to support our operations generally. We also expect an increase in expenses associated with being a public company, including costs related to accounting, audit, legal, regulatory, and tax-related services associated with maintaining compliance with applicable Nasdaq and SEC requirements; additional director and officer insurance costs; and investor and public relations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Other income (expense), net includes foreign currency transactions gains and losses, interest income, changes in the fair value of our derivative tranche liabilities, which were settled in February 2021, changes in the fair value of common stock warrant liability and earnout liability, which were recorded at the closing of the Business Combination. These financial instruments were classified as liabilities in our consolidated balance sheets and re-measured at each reporting period end until they are exercised, settled or have expired.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61"/>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Change</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Change</w:t>
            </w:r>
          </w:p>
        </w:tc>
      </w:tr>
      <w:tr>
        <w:trPr>
          <w:trHeight w:val="236"/>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25,421</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15,883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11,412</w:t>
            </w:r>
          </w:p>
        </w:tc>
        <w:tc>
          <w:tcPr>
            <w:tcW w:w="340" w:type="dxa"/>
            <w:vAlign w:val="bottom"/>
          </w:tcPr>
          <w:p>
            <w:pPr>
              <w:spacing w:after="0"/>
              <w:rPr>
                <w:sz w:val="20"/>
                <w:szCs w:val="20"/>
                <w:color w:val="auto"/>
              </w:rPr>
            </w:pP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20"/>
                <w:szCs w:val="20"/>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(36,833)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(20,683)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(16,150)</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9,277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(3,501)</w:t>
            </w:r>
          </w:p>
        </w:tc>
        <w:tc>
          <w:tcPr>
            <w:tcW w:w="34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(10,875)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7,374</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236"/>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(30,637</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(31,669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34"/>
        </w:trPr>
        <w:tc>
          <w:tcPr>
            <w:tcW w:w="59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40" w:type="dxa"/>
            <w:vAlign w:val="bottom"/>
            <w:vMerge w:val="restart"/>
          </w:tcPr>
          <w:p>
            <w:pPr>
              <w:spacing w:after="0"/>
              <w:rPr>
                <w:sz w:val="20"/>
                <w:szCs w:val="20"/>
                <w:color w:val="auto"/>
              </w:rPr>
            </w:pPr>
            <w:r>
              <w:rPr>
                <w:rFonts w:ascii="Arial" w:cs="Arial" w:eastAsia="Arial" w:hAnsi="Arial"/>
                <w:sz w:val="18"/>
                <w:szCs w:val="18"/>
                <w:color w:val="auto"/>
              </w:rPr>
              <w:t>External costs: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Change</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8"/>
              </w:rPr>
              <w:t>CRO, CMO and other third-party preclinical studies and clinical</w:t>
            </w: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trials</w:t>
            </w:r>
          </w:p>
        </w:tc>
        <w:tc>
          <w:tcPr>
            <w:tcW w:w="1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15,271</w:t>
            </w:r>
          </w:p>
        </w:tc>
        <w:tc>
          <w:tcPr>
            <w:tcW w:w="44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Consulting costs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3,205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2,776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intellectual property license and option</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140" w:type="dxa"/>
            <w:vAlign w:val="bottom"/>
          </w:tcPr>
          <w:p>
            <w:pPr>
              <w:ind w:left="180"/>
              <w:spacing w:after="0" w:line="201" w:lineRule="exact"/>
              <w:rPr>
                <w:sz w:val="20"/>
                <w:szCs w:val="20"/>
                <w:color w:val="auto"/>
              </w:rPr>
            </w:pPr>
            <w:r>
              <w:rPr>
                <w:rFonts w:ascii="Arial" w:cs="Arial" w:eastAsia="Arial" w:hAnsi="Arial"/>
                <w:sz w:val="18"/>
                <w:szCs w:val="18"/>
                <w:color w:val="auto"/>
              </w:rPr>
              <w:t>Other research and development costs, including laboratory</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materials and supplies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Internal costs: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Personnel-related costs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6"/>
        </w:trPr>
        <w:tc>
          <w:tcPr>
            <w:tcW w:w="5140" w:type="dxa"/>
            <w:vAlign w:val="bottom"/>
          </w:tcPr>
          <w:p>
            <w:pPr>
              <w:ind w:left="180"/>
              <w:spacing w:after="0"/>
              <w:rPr>
                <w:sz w:val="20"/>
                <w:szCs w:val="20"/>
                <w:color w:val="auto"/>
              </w:rPr>
            </w:pPr>
            <w:r>
              <w:rPr>
                <w:rFonts w:ascii="Arial" w:cs="Arial" w:eastAsia="Arial" w:hAnsi="Arial"/>
                <w:sz w:val="18"/>
                <w:szCs w:val="18"/>
                <w:color w:val="auto"/>
              </w:rPr>
              <w:t>Facilities and overhead costs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61"/>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16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25,421</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450"/>
              <w:spacing w:after="0"/>
              <w:rPr>
                <w:sz w:val="20"/>
                <w:szCs w:val="20"/>
                <w:color w:val="auto"/>
              </w:rPr>
            </w:pPr>
            <w:r>
              <w:rPr>
                <w:rFonts w:ascii="Arial" w:cs="Arial" w:eastAsia="Arial" w:hAnsi="Arial"/>
                <w:sz w:val="18"/>
                <w:szCs w:val="18"/>
                <w:color w:val="auto"/>
              </w:rPr>
              <w:t>105</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08" w:name="page109"/>
    <w:bookmarkEnd w:id="108"/>
    <w:p>
      <w:pPr>
        <w:ind w:right="100" w:firstLine="648"/>
        <w:spacing w:after="0" w:line="277" w:lineRule="auto"/>
        <w:rPr>
          <w:sz w:val="20"/>
          <w:szCs w:val="20"/>
          <w:color w:val="auto"/>
        </w:rPr>
      </w:pPr>
      <w:r>
        <w:rPr>
          <w:rFonts w:ascii="Arial" w:cs="Arial" w:eastAsia="Arial" w:hAnsi="Arial"/>
          <w:sz w:val="18"/>
          <w:szCs w:val="18"/>
          <w:color w:val="auto"/>
        </w:rPr>
        <w:t>Research and development expenses increased by $9.5 million, from $15.9 million for the year ended December 31, 2020 to $25.4 million for the year ended December 31, 2021</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External CRO, CMO and other third-party preclinical studies and clinical trials expenses increased by $6.5 million, from $8.8 million for the year ended December 31, 2020 to $15.3 million for the year ended December 31, 2021. The increase is primarily related to an increase in our CRO expenses related to ongoing SCID and MDS/AML clinical trials and increased CMO product development and manufacturing expenses. Expenses related to professional consulting services increased by $0.4 million, from $2.8 million to $3.2 million for the years ended December 31, 2020 and 2021, respectively. The increase related to external consulting incurred to supplement our research and development personnel. Technology and intellectual property license and option expenses of $1.0 million for the year ended December 30, 2020 related to the option exercised under the ISRA with Stanford in June 2020. We did not incur any license expenses in the 2021 period. Other external research and development costs were $0.5 million for each of the years ended December 31, 2021 and 2020 and include purchases of laboratory materials and supplies, shipping, packaging and labeling and other miscellaneous costs.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external costs by program for the years ended December 31, 2021 and 2020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8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JSP191 platform</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MDS/AML clinical trial</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3,829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1,723</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SCID clinical trial</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w:t>
            </w:r>
          </w:p>
        </w:tc>
      </w:tr>
      <w:tr>
        <w:trPr>
          <w:trHeight w:val="223"/>
        </w:trPr>
        <w:tc>
          <w:tcPr>
            <w:tcW w:w="87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61"/>
        </w:trPr>
        <w:tc>
          <w:tcPr>
            <w:tcW w:w="8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external costs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Employee payroll and related expenses increased by $2.5 million, from $2.8 million for the year ended December 31, 2020 to $5.3 million for the year ended December 31, 2021, as a result of hiring 9 additional employees in our research and development organization. Stock-based compensation expenses increased by $0.3 million, from $0.3 million for the year ended December 31, 2020 to $0.6 million for the year ended December 31, 2021. Facilities and overheads include common facilities, human resources and information technology related expenses allocated to research and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General and administrative expenses increased by $6.6 million, from $4.8 million for the year ended December 31, 2020, to $11.4 million for the year ended December 31, 2021. Employee payroll and related expenses increased by $0.6 million, from $1.7 million for the year ended December 31, 2020 to $2.3 million for the year ended December 31, 2021, as a result of continued hiring of executives and administrative employees. Expenses related to professional consulting services increased by $4.0 million, from $2.4 million for the year ended December 31, 2020 to $6.4 million for the year ended December 31, 2021 due to significant consulting, legal, audit and accounting services incurred in connection with our increased operating activities and the closing of the Business Combination during the 2021 period as compared to the 2020 period. Rent expense increased by $0.5 million for the year ended December 31, 2021, as compared to rent expense for year ended December 31, 2020. Other expenses, including insurance, office supplies, subscriptions and other miscellaneous expenses, increased by $1.5 million for the year ended December 31, 2021 as compared to expenses for the year ended December 31, 2020, as we continued expanding our operations to support our business strategy and product development.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Total other income (expense), net increased by $17.2 million, from $10.9 million net expense for the year ended December 31, 2020 to $6.2 million net income for the year ended December 31, 2021.</w:t>
      </w:r>
    </w:p>
    <w:p>
      <w:pPr>
        <w:spacing w:after="0" w:line="17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recognized other expense related to the increase in the fair value of our derivative liability of $3.5 million for the year ended December 31, 2021 as compared to an increase of $10.9 million for the year ended December 31, 2020. This derivative liability was an obligation to issue additional Series A-1 redeemable convertible preferred shares in two tranches, which was recorded at fair value and re-measured at each reporting period until it was settled. We settled the first tranche liability in October 2020 and the second tranche liability in February 2021. After that, we ceased to have any such outstanding derivative liability. This derivative liability was measured using the option pricing method by estimating the fair value using the Black-Scholes model. The significant inputs used in the Black-Scholes model include the fair value of the redeemable convertible preferred stock, the risk-free interest rate, the expected volatility and the expected term when each tranche would be settled.</w:t>
      </w:r>
    </w:p>
    <w:p>
      <w:pPr>
        <w:spacing w:after="0" w:line="177"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As of December 31, 2021, we have outstanding warrants to purchase an aggregate of 4,999,883 shares of our common stock, which were recognized upon the closing of the Business Combination on September 24, 2021. The warrants were concluded to be derivative financial instruments and are measured at fair value at each reporting period end until these are exercised, have expired or are redeemed. These warrants are publicly traded, and the fair value is estimated using the closing price of a warrant at the period end. We recognized $0.5 million of other income related to the decrease in the fair value of the common stock warrants for the year ended December 31, 2021.</w:t>
      </w:r>
    </w:p>
    <w:p>
      <w:pPr>
        <w:spacing w:after="0" w:line="17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Upon the closing of the Business Combination on September 24, 2021, we recognized earnout liability related to the Sponsor Earnout Shares placed in escrow. These shares will be released from escrow upon achieving agreed upon common stock price targets within the specified period. This liability is recorded at fair value using Monte Carlo simulation model and is re-measured at each period end until shares are released or forfeited. The significant inputs used in the Monte Carlo model include the expected volatility of our common stock and the expected term when shares will be released. We recognized $9.3 million of other income related to the decrease in the fair value of the earnout liability for the year ended December 31, 2021, primarily as a result of the decrease in our common stock price, which decreased the estimated liability related to the earnout provision.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Prior to the closing of the Business Combination, we funded our operations primarily from the issuance of redeemable convertible preferred stock shares and the issuance of convertible promissory notes. We received net cash proceeds of $95.3 million at the closing of the Business Combination, which includes the remaining cash in our trust account after redemptions and the payment of the closing costs and $100.0 million received from the PIPE Investors. As of December 31, 2021, we had $84.7 million of cash and cash equivalents.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expenses for the foreseeable future as we continue to advance our product candidates, expand our corporate infrastructure, operate as a public company, further our research and development initiatives for our product candidates, scale our laboratory and manufacturing operations, and incur marketing costs associated with potential commercialization. We are subject to all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0" w:name="page111"/>
    <w:bookmarkEnd w:id="110"/>
    <w:p>
      <w:pPr>
        <w:ind w:firstLine="648"/>
        <w:spacing w:after="0" w:line="269" w:lineRule="auto"/>
        <w:rPr>
          <w:sz w:val="20"/>
          <w:szCs w:val="20"/>
          <w:color w:val="auto"/>
        </w:rPr>
      </w:pPr>
      <w:r>
        <w:rPr>
          <w:rFonts w:ascii="Arial" w:cs="Arial" w:eastAsia="Arial" w:hAnsi="Arial"/>
          <w:sz w:val="17"/>
          <w:szCs w:val="17"/>
          <w:color w:val="auto"/>
        </w:rPr>
        <w:t>We have incurred significant losses and negative cash flows from operations since our inception. As of December 31, 2021, we had an accumulated deficit of $67.5 million. Given our recurring losses from operations and negative cash flows, and based on our current operating plan, we have concluded that there is substantial doubt about our ability to continue as a going concern within one year after the issuance date of these consolidated financial statements. We expect to finance our future cash needs through public or private equity or debt financings, collaborations or a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that may result from the ongoing COVID-19 pandemic or other factors.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contracts terminations and do not have any non-cancellable obligations under these agreements as of December 31, 2021.</w:t>
      </w:r>
    </w:p>
    <w:p>
      <w:pPr>
        <w:spacing w:after="0" w:line="15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We have contractual obligations and commitments as described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within our consolidated financial statements included in Part II, Item 8 of the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August 2020, we leased approximately 7,781 square feet of space for our headquarters in Redwood City, California. In January 2022, we amended our lease agreement and added 5,611 square feet, previously leased on a month-to-month basis, to our lease agreement. The lease expires in August 2026. We have an option to extend the term for an additional five years to August 2031. In addition to base rent, we pay our share of operating expenses and taxes. As of December 31, 2021, our rent commitments under the original lease agreement are $0.7 million within the next 12 months from December 31, 2021, and $2.7 million for the remainder of the lease term. We will pay additional monthly rent of $30,860 for the new space with a total commitment of $1.8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Stanford Sponsored Research Agreement</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Effective September 2020, we entered into a sponsored research agreement with Stanford for a research program related to the treatment of Fanconi Anemia patients in Bone Marrow Failure requiring allogeneic transplant with non-sibling donors at Stanford Lucile Packard Children’s Hospital (the “Research Project”) using JSP191. As consideration for the services performed by Stanford under this sponsored research agreement, we will pay Stanford a total of $0.9 million over approximately 3 years upon the achievement of development and clinical milestones, including FDA filings and patients’ enrollment. In February 2021, we paid $0.3 million related to the achievement of the first milestone under this agreement. In February 2022, the second milestone was achieved, and at that point we accrued an additional $0.3 million. The third milestone is based on the progress of the clinical trials and will be recognized when achieved.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Stanford License Agreement</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March 2021, we entered into the Stanford License Agreement, pursuant to which we are required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We are also obligated to pay late-stage clinical development milestones and first commercial sales milestone payments of up to $9.0 million in total. We will also pay low single-digit royalties on net sales of licensed products. All products are in development as of December 31, 2021, and no such royalties were due as of such date and no milestones were achieved.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Our future financing requirements will depend on many factors, including:</w:t>
      </w:r>
    </w:p>
    <w:p>
      <w:pPr>
        <w:spacing w:after="0" w:line="225" w:lineRule="exact"/>
        <w:rPr>
          <w:sz w:val="20"/>
          <w:szCs w:val="20"/>
          <w:color w:val="auto"/>
        </w:rPr>
      </w:pPr>
    </w:p>
    <w:p>
      <w:pPr>
        <w:ind w:left="980" w:right="52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scope, progress, results and costs of research and development, preclinical and non-clinical studies and clinical trials for our current and future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scope and duration of clinical trials required for regulatory approval of our current and future product candidates;</w:t>
      </w:r>
    </w:p>
    <w:p>
      <w:pPr>
        <w:spacing w:after="0" w:line="225"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outcome, timing and costs of seeking and obtaining regulatory approvals from the FDA and comparable foreign regulatory authorities for our product candidates, including any requirement to conduct additional studies or generate additional data beyond that which we currently expect would be required to support a marketing application;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manufacturing clinical and commercial supplies of our current and future product candidates;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may receive marketing approval;</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payers;</w:t>
      </w:r>
    </w:p>
    <w:p>
      <w:pPr>
        <w:spacing w:after="0" w:line="170" w:lineRule="exact"/>
        <w:rPr>
          <w:rFonts w:ascii="Arial" w:cs="Arial" w:eastAsia="Arial" w:hAnsi="Arial"/>
          <w:sz w:val="18"/>
          <w:szCs w:val="18"/>
          <w:color w:val="auto"/>
        </w:rPr>
      </w:pPr>
    </w:p>
    <w:p>
      <w:pPr>
        <w:jc w:val="both"/>
        <w:ind w:left="980" w:right="140" w:hanging="324"/>
        <w:spacing w:after="0" w:line="26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to attract, hire and retain skilled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 change in the outcome of any of these or other variables could significantly change the costs and timing associated with the development of our product candidates. Furthermore, our operating plans may change in the future, and we may need additional funds to meet operational needs and capital requirements associated with such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sources and uses of cash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(33,678)</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(2,428)</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100,969</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w w:val="90"/>
              </w:rPr>
              <w:t>Net increase (decrease) in cash and cash equivalents and restricted cash</w:t>
            </w: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31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64,863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(6,980</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900" w:type="dxa"/>
            <w:vAlign w:val="bottom"/>
            <w:vMerge w:val="restart"/>
          </w:tcPr>
          <w:p>
            <w:pPr>
              <w:jc w:val="right"/>
              <w:ind w:right="2370"/>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was $33.7 million and $18.3 million for the years ended December 2021 and 2020, respectively.</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Cash used in operating activities in the year ended December 31, 2021 was primarily due to our net loss for the period of $30.6 million adjusted by non-cash net gain charges of $4.7 million and a net change of $1.6 million in our net operating assets and liabilities. The non-cash charges consisted of $6.3 million net gain related to the changes in fair value of a derivative liability, common stock warrant liability and the earnout liability, reduced by non-cash expenses, which included $1.0 million related to stock-based compensation expense, $0.4 million related to depreciation and amortization expense and $0.2 million related to non-cash lease expense. The changes in our net operating assets and liabilities were primarily due to an increase of $2.9 million in accounts payable due to the timing of payments to our vendors, an increase of $1.0 million in accrued expenses and other current liabilities and a decrease of $0.6 million in other receivables, partially offset by $2.2 million increase in prepaid expenses and other current assets, a $0.3 million increase in other non-current assets, a decrease in other non-current liabilities of $0.2 million and a decrease in operating lease liability of $0.1 million.</w:t>
      </w:r>
    </w:p>
    <w:p>
      <w:pPr>
        <w:spacing w:after="0" w:line="16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Cash used in operating activities in the year ended December 31, 2020 was primarily due to our net loss for the year of $31.7 million adjusted by non-cash charges of $12.1 million and a net change of $1.3 million in our net operating assets and liabilities. The non-cash charges consisted of $10.9 million related to changes in the fair value of the derivative tranche liabilities and $1.2 million related to stock-based compensation expense. The changes in our net operating assets and liabilities were primarily due to an increase of $1.2 million in accrued expenses and other current liabilities, an increase of $0.4 million in accounts payable, an increase of $0.3 million in other non-current assets, an increase of $0.2 million in other non-current liabilities, and an increase of $0.2 million in prepaid expenses, as we expanded our operations, started clinical trials and increased our research and development activities during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Cash used in investing activities for the year ended December 31, 2021 was $2.4 million, which primarily consisted of purchases of the lab equipment and leasehold improvements.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cash used in investing activities for the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Cash provided by financing activities for the year ended December 31, 2021 was $101.0 million, which consisted of $95.3 million net cash proceeds received at the closing of the Business Combination, which included the PIPE Financing, $10.8 million net proceeds received in February 2021 upon the issuance of Series A-1 redeemable convertible preferred stock shares and $0.2 million of cash received from the exercise of stock options. Cash received was reduced by $5.3 million related to expenses paid by us related to the Business Combination.</w:t>
      </w:r>
    </w:p>
    <w:p>
      <w:pPr>
        <w:spacing w:after="0" w:line="17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Cash provided by financing activities for the year ended December 31, 2020 was $11.3 million, which consisted primarily of net proceeds from the issuance of Series A-1 redeemable convertible preferred stock shares upon the settlement of the first tranche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critical accounting policies are disclosed in Note 2 of the notes to the consolidated financial statements included in Part II, Item 8 of this Annual Report on Form 10-K.</w:t>
      </w:r>
    </w:p>
    <w:p>
      <w:pPr>
        <w:spacing w:after="0" w:line="17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3" w:name="page114"/>
    <w:bookmarkEnd w:id="113"/>
    <w:p>
      <w:pPr>
        <w:ind w:right="40" w:firstLine="648"/>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included in Part II, Item 8 of this Annual Report on Form 10-K, we believe that the following accounting policies are those most critical to the judgments and estimates used in the preparation of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entered into various agreements with outsourced vendors, including CROs and CMOs. Research and development expenses are recognized as services are performed and as costs occur. 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CMOs,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Payments made under these arrangements in advance of the performance of the related services are recorded as prepaid expenses and other current assets until the services are rendered. To date, there have been no material differences between estimates of such expenses and the amounts actually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Liability</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Upon the closing of the Business Combination, we recognized Sponsor Earnout Shares placed in escrow as a contingent earnout liability. These contingently issuable shares are classified as a liability on the balance sheets and are subject to re-measurement at each balance sheet date and at the settlement date. Any change in fair value is recognized in the statements of operations and comprehensive loss.</w:t>
      </w:r>
    </w:p>
    <w:p>
      <w:pPr>
        <w:spacing w:after="0" w:line="1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utilize the Monte Carlo simulation model, which uses a distribution of potential outcomes on a monthly basis over the earnout period prioritizing the most reliable information available. The assumptions utilized in the calculation are based on the achievement of certain stock price milestones, including our current common stock price, expected volatility, risk-free rate and expected term. We determine expected stock volatility based on the historical volatility of the prices of shares of common stock of publicly traded peer companies. We estimate the risk-free interest rate by reference to the U.S. Treasury yield curve over the expected term. The expected term equals the remaining contractual term of the escrow, which ends on September 24, 2024. Common stock fair value equals the closing price of our common stock on the Nasdaq Capital Market at the valuation date. An increase or decrease in the common stock fair value and volatility assumptions will significantly increase or decrease the recorded liability, respectively.</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At the closing of the Business Combination, the estimated fair value of the earnout liability was $15.0 million. As of December 31, 2021, we estimated the fair value of the contingent earnout liability to be $5.7 million. We recognized $9.3 million of other income related to the decrease in the fair value of the earnout liability for the year ended December 31, 2021, primarily as a result of the decrease in our common stock price, which decreased the estimated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Tranche Liability</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determined that the obligation to issue additional shares of redeemable convertible preferred stock upon the occurrence of certain events, including a certain threshold number of patients being enrolled in clinical trials, or our Board’s consent, represents a freestanding financial instrument. The instrument is classified as a liability on the balance sheets and is subject to re-measurement at each balance sheet date and at the settlement date. Any change in fair value is recognized in the statements of operations and comprehensive loss.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utilize the Black-Scholes option-pricing model, which incorporates assumptions and estimates, to value redeemable convertible preferred stock tranche liability. On a quarterly basis, we assess these assumptions and estimates as additional information impacting the assumptions is obtained. Estimates and assumptions impacting the fair value measurement include the fair value of the preferred stock, the expected term when the tranche liability will be settled, expected volatility, risk-free interest rate and expected dividend yield.</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determine the fair value per share of the underlying preferred stock by taking into consideration our most recent sales of our preferred stock as well as additional factors that we deem relevant. We were a private company and lacked company-specific historical and implied volatility information of our stock. Therefore, we determined expected stock volatility based on the historical volatility of the prices of shares of common stock of publicly-traded peer companies. We estimate the risk-free interest rate by reference to the U.S. Treasury yield curve for time periods approximately equal to the remaining contractual term of the outstanding tranche liability. We have assumed a 0% dividend considering that our Board has no history of declaring dividends and does not intend to declare any.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outstanding tranche liability of $8.2 million. The tranche liability was settled in February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We measure stock-based awards made to employees and non-employees based on the estimated fair values of the awards as of the grant dates using the Black-Scholes option-pricing model. The model requires management to make a number of assumptions including common stock fair value, expected volatility, expected term, risk-free interest rate and expected dividend yield.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4" w:name="page115"/>
    <w:bookmarkEnd w:id="114"/>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Expected volatility is estimated by studying the volatility of the prices of shares of common stock of comparable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similar terms.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Expected term represents the period that our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zero-coupon issued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The Black-Scholes valuation model calls for a single expected dividend yield as an input. To date, we have not declared or</w:t>
      </w:r>
      <w:r>
        <w:rPr>
          <w:rFonts w:ascii="Arial" w:cs="Arial" w:eastAsia="Arial" w:hAnsi="Arial"/>
          <w:sz w:val="18"/>
          <w:szCs w:val="18"/>
          <w:i w:val="1"/>
          <w:iCs w:val="1"/>
          <w:color w:val="auto"/>
        </w:rPr>
        <w:t xml:space="preserve"> </w:t>
      </w:r>
      <w:r>
        <w:rPr>
          <w:rFonts w:ascii="Arial" w:cs="Arial" w:eastAsia="Arial" w:hAnsi="Arial"/>
          <w:sz w:val="18"/>
          <w:szCs w:val="18"/>
          <w:color w:val="auto"/>
        </w:rPr>
        <w:t>paid any dividends.</w:t>
      </w:r>
    </w:p>
    <w:p>
      <w:pPr>
        <w:spacing w:after="0" w:line="170"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We recognized stock-based compensation expense on a straight-line basis over the requisite service period, which is the period in which the related services are received. We account for forfeitures as they occur. The expense for stock-based awards with performance conditions is recognized when it is probable that a performance condition is met during the vesting period.</w:t>
      </w:r>
    </w:p>
    <w:p>
      <w:pPr>
        <w:spacing w:after="0" w:line="184"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We recorded stock-based compensation expense of $1.0 million and $1.2 million for the years ended December 31, 2021 and 2020, respectively. As of December 31, 2021, there was $1.5 million of total unrecognized compensation expense, which we expect to recognize over a remaining weighted-average period of 2.6 years. We expect to continue to grant equity-based awards in the future, and to the extent that we do, our stock-based compensation expense recognized in future periods will likely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Redeemable Convertible Preferred Stock</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 xml:space="preserve">Prior to the closing of the Business Combination, we determined the fair value of our common stock and redeemable convertible preferred stock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management’s approach to estimate the fair value considered a</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objective and subjective factors, including: valuations of our common stock performed with the assistance of independent third-party valuation specialists; our stage of development and business strategy, including the status of research and development efforts and the material risks relating to the business and industry; our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our common stock; the prices of convertible preferred shares sold to investors in arm’s length transactions; the rights, preferences and privileges of our redeemable convertible preferred stock relative to those of our common stock; and the likelihood of achieving a liquidity event for the holders of our common and redeemable convertible preferred stock, such as an initial public offering or a sale, given prevailing market conditions.</w:t>
      </w:r>
    </w:p>
    <w:p>
      <w:pPr>
        <w:spacing w:after="0" w:line="16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do not have any outstanding redeemable convertible preferred stock after the closing of the Business Combination. We estimate the fair value of our common stock based on the closing quoted market price of our common stock as reported on the Nasdaq Capital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account for income taxes using the asset and liability method. We recognize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evaluating the ability to recover our deferred income tax assets, we consider all available positive and negative evidence, including our operating results, ongoing tax planning, and forecasts of future taxable income on a jurisdiction-by-jurisdiction basis. In the event we determine that we would be able to realize our deferred income tax assets in the future in excess of their net recorded amount, we would make an adjustment to the valuation allowance that would reduce the provision for income taxes. Conversely, if all or part of the net deferred tax assets are determined not to be realizable in the future, an adjustment to the valuation allowance would be charged to the provision of income taxes in the period when such determination is made. As of December 31, 2021, we recorded a full valuation allowance on the deferred tax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5" w:name="page116"/>
    <w:bookmarkEnd w:id="115"/>
    <w:p>
      <w:pPr>
        <w:ind w:firstLine="648"/>
        <w:spacing w:after="0" w:line="296" w:lineRule="auto"/>
        <w:rPr>
          <w:sz w:val="20"/>
          <w:szCs w:val="20"/>
          <w:color w:val="auto"/>
        </w:rPr>
      </w:pPr>
      <w:r>
        <w:rPr>
          <w:rFonts w:ascii="Arial" w:cs="Arial" w:eastAsia="Arial" w:hAnsi="Arial"/>
          <w:sz w:val="16"/>
          <w:szCs w:val="16"/>
          <w:color w:val="auto"/>
        </w:rPr>
        <w:t>As of December 31, 2021, we had net operating loss carryforwards of approximately $53.1 million and $45.4 million available to reduce future taxable income, if any, for both federal and state income tax purposes, respectively. The federal net operating loss carryforwards do not expire, and the state net operating loss carryforwards begin expiring in 2038. As of December 31, 2021, we had research and development credit carryforwards of approximately $1.3 million and $1.0 million available to reduce future taxable income, if any, for both federal and California state income tax purposes, respectively. The federal research and development credit carryforwards begin expiring in 2040, and the California credits carryforward indefinitely.</w:t>
      </w:r>
    </w:p>
    <w:p>
      <w:pPr>
        <w:spacing w:after="0" w:line="16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March 27, 2020, the President of the United States signed into law the Coronavirus Aid, Relief, and Economic Security Act (the “CARES Act”). The CARES Act, among other things, includes certain income tax provisions for individuals and corporations; however, these benefits do not impact our current tax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2 to the consolidated financial statements included in Part II, Item 8 of this Annual Report on Form 10-K for more information regarding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Jumpstart Our Business Startups Act of 2012 (the “JOBS Act”) exempts emerging growth companies from being required to comply with new or revised financial accounting standards until private companies (that is, those that have not had a U.S. Securities Act of 1933, as amended,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opted to take advantage of the exemption for complying with new or revised accounting standards within the same time periods as private companies,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consolidated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68"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6"/>
          <w:szCs w:val="16"/>
          <w:color w:val="auto"/>
        </w:rPr>
        <w:t>We will remain an emerging growth company until the earlier of: (i) the last day of the fiscal year (a) following November 22, 2024, (b) in which we have total annual gross revenue of at least $1.07 billion, or (c) in which we are deemed to be a large accelerated filer, which means the market value of our common equity that is held by non-affiliates exceeds $700 million as of the last business day of its most recently completed second fiscal quarter; and</w:t>
      </w:r>
    </w:p>
    <w:p>
      <w:pPr>
        <w:spacing w:after="0" w:line="2" w:lineRule="exact"/>
        <w:rPr>
          <w:sz w:val="20"/>
          <w:szCs w:val="20"/>
          <w:color w:val="auto"/>
        </w:rPr>
      </w:pPr>
    </w:p>
    <w:p>
      <w:pPr>
        <w:ind w:right="340" w:firstLine="8"/>
        <w:spacing w:after="0" w:line="260"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on which we have issued more than $1.00 billion in non-convertible debt securities during the prior three-year period. References herein to “emerging growth company” have the meaning associated with it in the JOBS Act.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had cash and cash equivalents of $84.7 million as of December 31, 2021, which consisted of checking account and money market funds. Historical fluctuations in interest rates have not been significant for us, and we believe a hypothetical 10% change in interest rates during any of the periods presented would not have had a material effect on our consolidated financial statements included in Part II, Item 8 of this Annual Report on Form 10-K. We had no outstanding debt as of December 31, 2021. To minimize risk in the future, we intend to maintain our portfolio of cash equivalents in institutional market funds that are composed of U.S. Treasury and U.S. Treasury-backed repurchase agreements or short-term U.S. Treasury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of our employees are currently located in the United States; however, we do utilize certain vendors outside of the United States for our manufacturing of drug substances and clinical supplies.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believe a hypothetical 10% chance in exchange rates during any of the periods presented would not have a material effect on our consolidated financial statements included in Part II, Item 8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4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98"/>
              </w:rPr>
              <w:t>JASPER THERAPEUTICS, INC.</w:t>
            </w:r>
          </w:p>
        </w:tc>
        <w:tc>
          <w:tcPr>
            <w:tcW w:w="112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4"/>
          </w:tcPr>
          <w:p>
            <w:pPr>
              <w:jc w:val="center"/>
              <w:ind w:right="2020"/>
              <w:spacing w:after="0"/>
              <w:rPr>
                <w:sz w:val="20"/>
                <w:szCs w:val="20"/>
                <w:color w:val="auto"/>
              </w:rPr>
            </w:pPr>
            <w:r>
              <w:rPr>
                <w:rFonts w:ascii="Arial" w:cs="Arial" w:eastAsia="Arial" w:hAnsi="Arial"/>
                <w:sz w:val="18"/>
                <w:szCs w:val="18"/>
                <w:b w:val="1"/>
                <w:bCs w:val="1"/>
                <w:color w:val="auto"/>
              </w:rPr>
              <w:t>INDEX TO THE FINANCIAL STATEMENTS</w:t>
            </w:r>
          </w:p>
        </w:tc>
        <w:tc>
          <w:tcPr>
            <w:tcW w:w="1120" w:type="dxa"/>
            <w:vAlign w:val="bottom"/>
          </w:tcPr>
          <w:p>
            <w:pPr>
              <w:spacing w:after="0"/>
              <w:rPr>
                <w:sz w:val="24"/>
                <w:szCs w:val="24"/>
                <w:color w:val="auto"/>
              </w:rPr>
            </w:pPr>
          </w:p>
        </w:tc>
      </w:tr>
      <w:tr>
        <w:trPr>
          <w:trHeight w:val="459"/>
        </w:trPr>
        <w:tc>
          <w:tcPr>
            <w:tcW w:w="21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40" w:type="dxa"/>
            <w:vAlign w:val="bottom"/>
            <w:tcBorders>
              <w:bottom w:val="single" w:sz="8" w:color="CCEEFF"/>
            </w:tcBorders>
          </w:tcPr>
          <w:p>
            <w:pPr>
              <w:spacing w:after="0"/>
              <w:rPr>
                <w:sz w:val="24"/>
                <w:szCs w:val="24"/>
                <w:color w:val="auto"/>
              </w:rPr>
            </w:pPr>
          </w:p>
        </w:tc>
        <w:tc>
          <w:tcPr>
            <w:tcW w:w="26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0"/>
        </w:trPr>
        <w:tc>
          <w:tcPr>
            <w:tcW w:w="101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Audited Consolidated Financial Statements</w:t>
            </w:r>
          </w:p>
        </w:tc>
        <w:tc>
          <w:tcPr>
            <w:tcW w:w="1120" w:type="dxa"/>
            <w:vAlign w:val="bottom"/>
            <w:shd w:val="clear" w:color="auto" w:fill="CCEEFF"/>
          </w:tcPr>
          <w:p>
            <w:pPr>
              <w:spacing w:after="0"/>
              <w:rPr>
                <w:sz w:val="18"/>
                <w:szCs w:val="18"/>
                <w:color w:val="auto"/>
              </w:rPr>
            </w:pPr>
          </w:p>
        </w:tc>
      </w:tr>
      <w:tr>
        <w:trPr>
          <w:trHeight w:val="175"/>
        </w:trPr>
        <w:tc>
          <w:tcPr>
            <w:tcW w:w="10120" w:type="dxa"/>
            <w:vAlign w:val="bottom"/>
            <w:gridSpan w:val="7"/>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3"/>
              </w:rPr>
              <w:t>116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Consolidated Balance Sheets</w:t>
              </w:r>
            </w:hyperlink>
          </w:p>
        </w:tc>
        <w:tc>
          <w:tcPr>
            <w:tcW w:w="8020" w:type="dxa"/>
            <w:vAlign w:val="bottom"/>
            <w:tcBorders>
              <w:bottom w:val="single" w:sz="8" w:color="CCEEFF"/>
            </w:tcBorders>
            <w:gridSpan w:val="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117</w:t>
            </w:r>
          </w:p>
        </w:tc>
      </w:tr>
      <w:tr>
        <w:trPr>
          <w:trHeight w:val="176"/>
        </w:trPr>
        <w:tc>
          <w:tcPr>
            <w:tcW w:w="10120" w:type="dxa"/>
            <w:vAlign w:val="bottom"/>
            <w:gridSpan w:val="7"/>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 and Comprehensive Loss</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3"/>
              </w:rPr>
              <w:t>118</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7"/>
            <w:shd w:val="clear" w:color="auto" w:fill="CCEEFF"/>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Consolidated Statements of Redeemable Convertible Preferred Stock and Stockholders’ Equity (Deficit)</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119</w:t>
            </w:r>
          </w:p>
        </w:tc>
      </w:tr>
      <w:tr>
        <w:trPr>
          <w:trHeight w:val="176"/>
        </w:trPr>
        <w:tc>
          <w:tcPr>
            <w:tcW w:w="752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Consolidated Statements of Cash Flows</w:t>
              </w:r>
            </w:hyperlink>
          </w:p>
        </w:tc>
        <w:tc>
          <w:tcPr>
            <w:tcW w:w="26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120 to 121</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Notes to Consolidated Financial Statements</w:t>
              </w:r>
            </w:hyperlink>
          </w:p>
        </w:tc>
        <w:tc>
          <w:tcPr>
            <w:tcW w:w="696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122</w:t>
            </w:r>
          </w:p>
        </w:tc>
      </w:tr>
      <w:tr>
        <w:trPr>
          <w:trHeight w:val="655"/>
        </w:trPr>
        <w:tc>
          <w:tcPr>
            <w:tcW w:w="7520" w:type="dxa"/>
            <w:vAlign w:val="bottom"/>
            <w:tcBorders>
              <w:bottom w:val="single" w:sz="8" w:color="auto"/>
            </w:tcBorders>
            <w:gridSpan w:val="6"/>
          </w:tcPr>
          <w:p>
            <w:pPr>
              <w:jc w:val="center"/>
              <w:ind w:left="3650"/>
              <w:spacing w:after="0"/>
              <w:rPr>
                <w:sz w:val="20"/>
                <w:szCs w:val="20"/>
                <w:color w:val="auto"/>
              </w:rPr>
            </w:pPr>
            <w:r>
              <w:rPr>
                <w:rFonts w:ascii="Arial" w:cs="Arial" w:eastAsia="Arial" w:hAnsi="Arial"/>
                <w:sz w:val="18"/>
                <w:szCs w:val="18"/>
                <w:color w:val="auto"/>
                <w:w w:val="86"/>
              </w:rPr>
              <w:t>115</w:t>
            </w: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8" w:name="page119"/>
    <w:bookmarkEnd w:id="11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Jasper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audited the accompanying consolidated balance sheets of Jasper Therapeutics, Inc. and its subsidiary (the “Company”) as of December 31, 2021 and 2020,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22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 has incurred losses and negative cash flows from operations since its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JASPER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19,838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87,831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20,685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23,357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3,596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Derivative tranche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Common stock 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7,350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Earnout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Redeemable convertible preferred stock: $0.0001 par value — none and 19,522,771 shares authorized at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31, 2021 and 2020, respectively; none and 15,480,195 shares issued and outstanding at December 31, 2021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2020, respectively; liquidation value $41,165 at December 31, 2020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43,840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Preferred stock: $0.0001 par value — 10,000,000 shares and none authorized at December 31, 2021 and 2020,</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respectively; none issued and outstanding at December 31, 2021 and 2020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$0.0001 par value — 492,000,000 and 50,218,502 shares authorized at December 31, 2021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2020, respectively; 37,855,114 and 2,770,702 shares issued and outstanding at December 31, 2021 and 2020,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136,964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69,518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(35,130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93,654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23,357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JASPER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25,421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15,883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11,412</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(36,833)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(20,683)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9,277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(3,501)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(10,875)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78"/>
        </w:trPr>
        <w:tc>
          <w:tcPr>
            <w:tcW w:w="8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w w:val="91"/>
              </w:rPr>
              <w:t>Weighted-average shares used in computing net loss per share attributable to common stockholders, basic and diluted</w:t>
            </w:r>
          </w:p>
        </w:tc>
        <w:tc>
          <w:tcPr>
            <w:tcW w:w="1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11,393,753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6,125,897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JASPER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REDEEMABLE CONVERTIBLE PREFERRED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2080" w:type="dxa"/>
            <w:vAlign w:val="bottom"/>
            <w:gridSpan w:val="5"/>
            <w:vMerge w:val="restart"/>
          </w:tcPr>
          <w:p>
            <w:pPr>
              <w:jc w:val="right"/>
              <w:ind w:right="350"/>
              <w:spacing w:after="0"/>
              <w:rPr>
                <w:sz w:val="20"/>
                <w:szCs w:val="20"/>
                <w:color w:val="auto"/>
              </w:rPr>
            </w:pPr>
            <w:r>
              <w:rPr>
                <w:rFonts w:ascii="Arial" w:cs="Arial" w:eastAsia="Arial" w:hAnsi="Arial"/>
                <w:sz w:val="18"/>
                <w:szCs w:val="18"/>
                <w:b w:val="1"/>
                <w:bCs w:val="1"/>
                <w:color w:val="auto"/>
              </w:rPr>
              <w:t>Preferred Stock</w:t>
            </w:r>
          </w:p>
        </w:tc>
        <w:tc>
          <w:tcPr>
            <w:tcW w:w="120" w:type="dxa"/>
            <w:vAlign w:val="bottom"/>
            <w:tcBorders>
              <w:right w:val="single" w:sz="8" w:color="auto"/>
            </w:tcBorders>
            <w:vMerge w:val="restart"/>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3"/>
        </w:trPr>
        <w:tc>
          <w:tcPr>
            <w:tcW w:w="3280" w:type="dxa"/>
            <w:vAlign w:val="bottom"/>
          </w:tcPr>
          <w:p>
            <w:pPr>
              <w:spacing w:after="0"/>
              <w:rPr>
                <w:sz w:val="19"/>
                <w:szCs w:val="19"/>
                <w:color w:val="auto"/>
              </w:rPr>
            </w:pPr>
          </w:p>
        </w:tc>
        <w:tc>
          <w:tcPr>
            <w:tcW w:w="2080" w:type="dxa"/>
            <w:vAlign w:val="bottom"/>
            <w:tcBorders>
              <w:bottom w:val="single" w:sz="8" w:color="auto"/>
            </w:tcBorders>
            <w:gridSpan w:val="5"/>
            <w:vMerge w:val="continue"/>
          </w:tcPr>
          <w:p>
            <w:pPr>
              <w:spacing w:after="0"/>
              <w:rPr>
                <w:sz w:val="19"/>
                <w:szCs w:val="19"/>
                <w:color w:val="auto"/>
              </w:rPr>
            </w:pPr>
          </w:p>
        </w:tc>
        <w:tc>
          <w:tcPr>
            <w:tcW w:w="12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63"/>
        </w:trPr>
        <w:tc>
          <w:tcPr>
            <w:tcW w:w="3280" w:type="dxa"/>
            <w:vAlign w:val="bottom"/>
          </w:tcPr>
          <w:p>
            <w:pPr>
              <w:spacing w:after="0"/>
              <w:rPr>
                <w:sz w:val="22"/>
                <w:szCs w:val="22"/>
                <w:color w:val="auto"/>
              </w:rPr>
            </w:pPr>
          </w:p>
        </w:tc>
        <w:tc>
          <w:tcPr>
            <w:tcW w:w="1120" w:type="dxa"/>
            <w:vAlign w:val="bottom"/>
            <w:gridSpan w:val="2"/>
          </w:tcPr>
          <w:p>
            <w:pPr>
              <w:jc w:val="right"/>
              <w:ind w:right="280"/>
              <w:spacing w:after="0" w:line="256" w:lineRule="exact"/>
              <w:rPr>
                <w:sz w:val="20"/>
                <w:szCs w:val="20"/>
                <w:color w:val="auto"/>
              </w:rPr>
            </w:pPr>
            <w:r>
              <w:rPr>
                <w:rFonts w:ascii="Arial" w:cs="Arial" w:eastAsia="Arial" w:hAnsi="Arial"/>
                <w:sz w:val="18"/>
                <w:szCs w:val="18"/>
                <w:b w:val="1"/>
                <w:bCs w:val="1"/>
                <w:color w:val="auto"/>
                <w:w w:val="97"/>
              </w:rPr>
              <w:t>Shares</w:t>
            </w:r>
            <w:r>
              <w:rPr>
                <w:rFonts w:ascii="Arial" w:cs="Arial" w:eastAsia="Arial" w:hAnsi="Arial"/>
                <w:sz w:val="29"/>
                <w:szCs w:val="29"/>
                <w:b w:val="1"/>
                <w:bCs w:val="1"/>
                <w:color w:val="auto"/>
                <w:w w:val="97"/>
                <w:vertAlign w:val="superscript"/>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2"/>
                <w:szCs w:val="22"/>
                <w:color w:val="auto"/>
              </w:rPr>
            </w:pPr>
          </w:p>
        </w:tc>
        <w:tc>
          <w:tcPr>
            <w:tcW w:w="1140" w:type="dxa"/>
            <w:vAlign w:val="bottom"/>
            <w:gridSpan w:val="2"/>
          </w:tcPr>
          <w:p>
            <w:pPr>
              <w:jc w:val="right"/>
              <w:ind w:right="320"/>
              <w:spacing w:after="0" w:line="256" w:lineRule="exact"/>
              <w:rPr>
                <w:sz w:val="20"/>
                <w:szCs w:val="20"/>
                <w:color w:val="auto"/>
              </w:rPr>
            </w:pPr>
            <w:r>
              <w:rPr>
                <w:rFonts w:ascii="Arial" w:cs="Arial" w:eastAsia="Arial" w:hAnsi="Arial"/>
                <w:sz w:val="18"/>
                <w:szCs w:val="18"/>
                <w:b w:val="1"/>
                <w:bCs w:val="1"/>
                <w:color w:val="auto"/>
                <w:w w:val="95"/>
              </w:rPr>
              <w:t>Shares</w:t>
            </w:r>
            <w:r>
              <w:rPr>
                <w:rFonts w:ascii="Arial" w:cs="Arial" w:eastAsia="Arial" w:hAnsi="Arial"/>
                <w:sz w:val="29"/>
                <w:szCs w:val="29"/>
                <w:b w:val="1"/>
                <w:bCs w:val="1"/>
                <w:color w:val="auto"/>
                <w:w w:val="95"/>
                <w:vertAlign w:val="superscript"/>
              </w:rPr>
              <w:t>(1)</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2"/>
                <w:szCs w:val="22"/>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11,255,430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2,695,264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of stock options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75,438</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Series A-1 redeemable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preferred stock for cash</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4,224,765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11,234</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3"/>
              </w:rPr>
              <w:t>Settlement of the redeemable convertible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preferred stock tranche liability</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6,770</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founders’ restricted stock</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(31,669)</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(31,669)</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December 31, 2020</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15,480,195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43,840</w:t>
            </w:r>
          </w:p>
        </w:tc>
        <w:tc>
          <w:tcPr>
            <w:tcW w:w="12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2,770,702</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1,682</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(36,813)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(35,130)</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stock options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323,740</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of common stock warrants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Series A-1 redeemable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preferred stock for cash</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4,042,565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10,750</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3"/>
              </w:rPr>
              <w:t>Settlement of the redeemable convertible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preferred stock tranche liability</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redeemable convertible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preferred stock into common stock in</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connection with the Reverse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Recapitalization (Note 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(19,522,760)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(66,249)</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21,722,661</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66,247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Issuance of common stock upon the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Reverse Recapitalization and PIPE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Financing, net of issuance costs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13,037,901</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67,741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67,742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Vesting of founders’ restricted stock</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(30,637)</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as of December 31, 2021</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37,855,114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136,964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(67,450</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69,518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shares of the Company’s common and redeemable convertible preferred stock, prior to the Reverse Recapitalization (as defined in Note 1) have been retroactively restated to reflect the exchange ratio of 0.282378, except for 100 shares of Series A-2 redeemable convertible preferred stock as described in Note 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JASPER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(30,637)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(31,669)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3,501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common stock warrant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earnout liability</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(9,277)</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(2,212)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2,938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959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Cash flows used in investing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(2,428)</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(2,428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proceeds from Reverse Recapitalization and PIPE Financing (Note 3)</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95,271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Reverse Recapitalization related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(5,288)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10,750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options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Proceeds from exercise of common stock warrants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increase (decrease) in cash, cash equivalents and restricted cash</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64,863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(6,980)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20,183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cash equivalents and restricted cash at end of the year</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85,046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JASPER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and non-cash items reconciliations: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 for purchases of property and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 obtained in exchange for lease liabilities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Non-cash leasehold improvements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Vesting of founders’ restricted stock</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2"/>
              </w:rPr>
              <w:t>Conversion of redeemable convertible preferred stock into common stock in connection with Reverse Recapitalization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issuance costs reclassified to additional paid in capital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liabilities assumed upon the closing of Reverse Recapitalization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Recognition of earnout liability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Recognition (settlement) of derivative tranche liability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(6,770)</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Letter of credit issued in connection with lease recognition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JASPER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Jasper Therapeutics, Inc. (“Jasper” or the “Company”), formerly known as Amplitude Healthcare Acquisition Corporation (“AMHC”), is a clinical-stage biotechnology company dedicated to enabling cures through hematopoietic stem cell transplants. The Company is focused on the development and commercialization of safer, more effective conditioning agents and stem cell grafts to allow for expanded use of curative therapy with stem cell transplantation and gene therapies. Its drug development pipeline includes multiple product candidates designed to improve stem cell transplants. The lead compound, JSP191, is in clinical development as a conditioning antibody that clears hematopoietic (blood and bone marrow) stem cells from bone marrow in patients undergoing hematopoietic cell transplantation. The Company is also developing engineered hematopoietic stem cell products. The Company is headquartered in Redwood City, California.</w:t>
      </w:r>
    </w:p>
    <w:p>
      <w:pPr>
        <w:spacing w:after="0" w:line="195" w:lineRule="exact"/>
        <w:rPr>
          <w:sz w:val="20"/>
          <w:szCs w:val="20"/>
          <w:color w:val="auto"/>
        </w:rPr>
      </w:pPr>
    </w:p>
    <w:p>
      <w:pPr>
        <w:ind w:right="20" w:firstLine="693"/>
        <w:spacing w:after="0" w:line="254" w:lineRule="auto"/>
        <w:rPr>
          <w:sz w:val="20"/>
          <w:szCs w:val="20"/>
          <w:color w:val="auto"/>
        </w:rPr>
      </w:pPr>
      <w:r>
        <w:rPr>
          <w:rFonts w:ascii="Arial" w:cs="Arial" w:eastAsia="Arial" w:hAnsi="Arial"/>
          <w:sz w:val="18"/>
          <w:szCs w:val="18"/>
          <w:color w:val="auto"/>
        </w:rPr>
        <w:t>On September 24, 2021 (the “Closing Date”), the Company consummated the previously announced business combination (the “Business Combination” or “Reverse Recapitalization” for accounting purposes) pursuant to the terms of the Business Combination Agreement, dated as of May 5, 2021 (the “BCA”), by and among AMHC, Ample Merger Sub, Inc., a then-wholly-owned subsidiary of AMHC (“Merger Sub”), and the pre-Business Combination Jasper Therapeutics, Inc. (now named Jasper Tx Corp.) (“Old Jasper”). Pursuant to the terms of the BCA, on the Closing Date, (i) Merger Sub merged with and into Old Jasper, with Old Jasper as the surviving company in the Business Combination, and, after giving effect to such Business Combination, Old Jasper became a wholly-owned subsidiary of AMHC and changed its name to “Jasper Tx Corp.”, and (ii) AMHC changed its name to “Jasper Therapeutics, Inc.”.</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concurrently with the execution of the BCA, certain investors (the “PIPE Investors”) entered into Subscription Agreements with AMHC whereby such investors subscribed for the purchase of an aggregate of 10,000,000 shares of AMHC’s Class A Common Stock at a price of $10.00 per share for aggregate gross proceeds of $100.0 million (the “PIPE Financing”). The PIPE Financing was consummated concurrently with the closing of the Business Combination.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Need for Additional Capital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incurred significant losses and negative cash flows from operations since its inception. During the years ended December 31, 2021 and 2020, the Company incurred net losses of $30.6 million and $31.7 million, respectively. During the years ended December 31, 2021 and 2020, the Company had negative operating cash flows of $33.7 million and $18.3 million, respectively. As of December 31, 2021, the Company had an accumulated deficit of $67.5 million. The Company expects to continue to incur substantial losses, and its ability to achieve and sustain profitability will depend on the successful development, approval, and commercialization of product candidates and on the achievement of sufficient revenues to support the Company’s cost structure.</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Company’s cash and cash equivalents of $84.7 million as of December 31, 2021 are not sufficient for the Company to continue as a going concern for at least one year from the issuance date of these consolidated financial statements. Additional funds are necessary to maintain current operations and to continue research and development activities. The Company’s management plans to monitor expenses and raise additional capital through a combination of public and private equity, debt financings, strategic alliances, and licensing arrangements. The Company’s ability to access capital when needed is not assured and, if capital is not available to the Company when, and in the amounts, needed, the Company could be required to delay, scale back, or abandon some or all of its development programs and other operations, which could materially harm the Company’s business, financial condition and results of operations. These factors raise substantial doubt about the Company’s ability to continue as a going concern.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ind w:firstLine="648"/>
        <w:spacing w:after="0" w:line="259"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which contemplates the realization of assets and satisfaction of liabilities in the normal course of business. The accompanying consolidated financial statements do not reflect any adjustments relating to the recoverability and reclassifications of assets and liabilities that might be necessary if the Company is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In March 2020, the World Health Organization declared the global novel coronavirus disease 2019 (“COVID-19”) outbreak a pandemic. The Company is following, and will continue to follow, recommendations from the U.S. Centers for Disease Control and Prevention as well as federal, state, and local governments regarding working-from-home practices for non-essential employees as well as return-to-work policies and procedures. The Company expects to continue to take actions as may be required or recommended by government authorities or as the Company determines are in the best interests of its employees and other business partners in light of the pandemic.</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While the Company’s operations to date have not been significantly impacted by the COVID-19 pandemic, it cannot at this time predict the specific extent, duration, or full impact that the COVID-19 pandemic will have on its business, financial condition and operations, including planned clinical trials and clinical development timelines. The Company experienced slower than anticipated patient enrollment in its severe combined immunodeficiency clinical trial in 2020 due to reluctance of these immunocompromised patients to travel and undergo hospitalization during the pandemic. The Company may continue to experience interruptions to its clinical trials due to the COVID-19 pandemic, including the spread of variants. The impact of the COVID-19 pandemic on the Company’s financial performance will depend on future developments, including the duration and spread of the pandemic, its impact on the Company’s clinical trial enrollment, trial sites, contract research organizations (“CROs”), contract manufacturing organizations (“CMOs”), and other third parties with whom it does business, its impact on regulatory authorities and the Company’s key scientific and management personnel, progress of vaccination and related governmental advisories and restrictions. These developments and the impact of the COVID-19 pandemic on the financial markets and the overall economy are highly uncertain and cannot be predicted.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consolidated financial statements and accompanying notes have been prepared in accordance with accounting principles generally accepted in the United States of America (“U.S. GAAP”) and regulations of the U.S. Securities and Exchange Commission for financial reporting.</w:t>
      </w:r>
    </w:p>
    <w:p>
      <w:pPr>
        <w:spacing w:after="0" w:line="146"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accompanying financial statements are consolidated for the year ended December 31, 2021 and include the accounts of Jasper Therapeutics, Inc. (i.e., formerly known as AMHC) and its wholly-owned subsidiary, Jasper Tx Corp., following the Reverse Recapitalization as further discussed in Note 3, “Reverse Recapitalization”. All other accompanying financial statements as of December 31, 2020 and for the year ended December 31, 2020 include only the accounts of Jasper Tx Corp. All intercompany transactions and balances have been eliminated upon consolidation.</w:t>
      </w:r>
    </w:p>
    <w:p>
      <w:pPr>
        <w:spacing w:after="0" w:line="15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All historical share data and per-share amounts were retrospectively adjusted to reflect the effect of the exchange ratio of 0.2823780 per one share, which was determined at the closing of the Reverse Recapitalization, except for the 100 shares of Series A-2 redeemable convertible preferred stock.</w:t>
      </w:r>
    </w:p>
    <w:p>
      <w:pPr>
        <w:ind w:right="380"/>
        <w:spacing w:after="0" w:line="323" w:lineRule="auto"/>
        <w:rPr>
          <w:sz w:val="20"/>
          <w:szCs w:val="20"/>
          <w:color w:val="auto"/>
        </w:rPr>
      </w:pPr>
      <w:r>
        <w:rPr>
          <w:rFonts w:ascii="Arial" w:cs="Arial" w:eastAsia="Arial" w:hAnsi="Arial"/>
          <w:sz w:val="16"/>
          <w:szCs w:val="16"/>
          <w:color w:val="auto"/>
        </w:rPr>
        <w:t>The Series A-2 shares were not subject to the exchange ratio as a part of the recapitalization; rather, the shares were converted into 2,200,000 shares of common stock upon the closing of the Business Combination. Refer to Note 10 for further discussion regarding the terms of these shares.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assumptions and judgements that affect the reported amounts of assets and liabilities and disclosure of contingent assets and liabilities as of the date of the consolidated financial statements and the reported amounts of income and expenses during the reporting periods. Significant estimates and assumptions made in the accompanying consolidated financial statements include but are not limited to the valuation of common and redeemable convertible preferred stock before the Reverse Recapitalization, the determination of the incremental borrowing rate used for operating lease liabilities, valuation of derivative liability, valuation of earnout liability and the measurement of stock-based compensation expense.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consolidated balance sheets that sum to the total amount shown in the consolidated statements of cash flows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spacing w:after="0"/>
              <w:rPr>
                <w:sz w:val="20"/>
                <w:szCs w:val="20"/>
                <w:color w:val="auto"/>
              </w:rPr>
            </w:pPr>
            <w:r>
              <w:rPr>
                <w:rFonts w:ascii="Arial" w:cs="Arial" w:eastAsia="Arial" w:hAnsi="Arial"/>
                <w:sz w:val="18"/>
                <w:szCs w:val="18"/>
                <w:color w:val="auto"/>
              </w:rPr>
              <w:t>Restricted cash</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642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2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vMerge w:val="continue"/>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20,183</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Cash and cash equivalents consist of checking account and investments in money market funds with an original maturity of three months or less at the time of purchase. The recorded carrying amount of cash and cash equivalents approximates their fair value. Restricted cash relates to the letter of credit secured in conjunction with the operating lease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Company’s cash and cash equivalents are maintained with financial institutions in the United States of America. Management believes that these financial institutions are financially sound. The Company has not experienced any losses on its cash and cash equivalents.</w:t>
      </w:r>
    </w:p>
    <w:p>
      <w:pPr>
        <w:spacing w:after="0" w:line="14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Company is subject to risks common to companies in the development stage, including, but not limited to, development and regulatory approval of new product candidates, development of markets and distribution channels, dependence on key personnel, and the ability to obtain additional capital as needed to fund its product plans. To achieve profitable operations, the Company must successfully develop and obtain requisite regulatory approvals for, manufacture, and market its product candidates. There can be no assurance that any such product candidate can be developed and approved or manufactured at an acceptable cost and with appropriate performance characteristics, or that such product will be successfully marketed. These factors could have a material adverse effect on the Company’s future financial results.</w:t>
      </w:r>
    </w:p>
    <w:p>
      <w:pPr>
        <w:spacing w:after="0" w:line="178"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Products developed by the Company require approval from the U.S. Food and Drug Administration (“FDA”) or other international regulatory agencies prior to commercial sales. There can be no assurance that the Company’s future products will receive the necessary clearances. If the Company were denied such clearances or such clearances were delayed, it could have a materially adverse impact on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capitalized qualified legal, accounting, and other direct costs related to the Business Combination, which were deferred until completion of the Business Combination. Upon the completion of the Business Combination, all deferred costs were recorded as a reduction to additional paid-in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Property and equipment, net is stated at cost less accumulated depreciation and amortization. Depreciation and amortization are recorded using the straight-line method over the estimated useful lives of the assets, generally 3 to 5 years. Leasehold improvements are amortized over the shorter of the estimated useful life of the asset or the remaining term of the lease. Upon the sale or retirement of assets, the cost and related accumulated depreciation and amortization are removed from the balance sheets and the resulting gain or loss is reflected in the consolidated statements of operations and comprehensive loss. Maintenance and repairs are charged to operations as incurred.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Company reviews its long-lived assets for impairment, principally property and equipment, whenever events or changes in business circumstances indicate the carrying amount of an asset may not be fully recoverable. Recoverability of assets held and used is measured by comparing the carrying amount of an asset to future net cash flows expected to be generated by the asset. If the Company determines that the carrying value of long-lived assets may not be recoverable, the impairment to be recognized is measured by the amount by which the carrying amount of the assets exceeds the fair value of the assets. Fair value is determined through various valuation techniques, principally discounted cash flow models, to assess the fair values of long-lived assets. The Company did not record any impairment of long-lived assets during the years ended December 31,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determines whether an arrangement is or contains a lease at the inception of the arrangement and whether such a lease is classified as a financing lease or operating lease at the commencement date of the lease. Leases with a term greater than one year are recognized on the balance sheet as operating right-of-use assets and non-current portion of operating lease liabilities. The Company elected not to recognize the right-of-use assets and lease liabilities for leases with lease terms of 12 months or less (short-term leases). Lease liabilities and their corresponding right-of-use assets are recorded based on the present value of lease payments over the expected lease term. As the interest rate implicit in the Company’s lease contracts is not readily determinable, the Company utilizes a collateralized incremental borrowing rate based on the information available at the commencement date to determine the present value of lease payments. Certain adjustments to the right-of-use asset may be required for items such as initial direct costs paid or incentives received and impairment charges if the Company determines the right-of-use asset is impaired.</w:t>
      </w:r>
    </w:p>
    <w:p>
      <w:pPr>
        <w:spacing w:after="0" w:line="16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considers the lease term to be the noncancelable period that it has the right to use the underlying asset, together with any periods where it is reasonably certain it will exercise an option to extend (or not terminate) the lease. Periods covered by an option to extend (or not terminate) the lease in which the exercise of the option is controlled by the lessor are included in the lease term.</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Rent expense for operating leases is recognized on a straight-line basis over the lease term and is presented in operating expenses on the consolidated statements of operations and comprehensive loss. The Company has elected to not separate lease and non-lease components for its real estate leases and has instead accounted for each separate lease component and the non-lease components associated with that lease component as a single lease component. Variable lease payments are recognized as lease expense as incurred and are presented in operating expenses on the consolidated statements of operations and comprehensive loss.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 finance leases as of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Company’s financial instruments consist of cash and cash equivalents, prepaid expenses and other current assets, accounts payable, accrued expenses and other current liabilities, derivative tranche liability, common stock warrant liability, contingent earnout liability and other non-current liabilities. 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carrying amounts of cash, prepaid expenses and other current assets, accounts payable, accrued expenses and other current liabilities, approximate fair value due to their short-term maturities.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25" w:lineRule="exact"/>
        <w:rPr>
          <w:sz w:val="20"/>
          <w:szCs w:val="20"/>
          <w:color w:val="auto"/>
        </w:rPr>
      </w:pPr>
    </w:p>
    <w:p>
      <w:pPr>
        <w:ind w:firstLine="427"/>
        <w:spacing w:after="0" w:line="254" w:lineRule="auto"/>
        <w:rPr>
          <w:sz w:val="20"/>
          <w:szCs w:val="20"/>
          <w:color w:val="auto"/>
        </w:rPr>
      </w:pPr>
      <w:r>
        <w:rPr>
          <w:rFonts w:ascii="Arial" w:cs="Arial" w:eastAsia="Arial" w:hAnsi="Arial"/>
          <w:sz w:val="18"/>
          <w:szCs w:val="18"/>
          <w:color w:val="auto"/>
        </w:rPr>
        <w:t>The Company recorded all shares of redeemable convertible preferred stock at their respective fair values on the dates of issuance, net of issuance costs and bifurcated derivative tranche liability, which was bifurcated as it was concluded to be a freestanding financial instrument liability. The redeemable convertible preferred stock was recorded outside of permanent equity because while it was not mandatorily redeemable, in certain events considered not solely within the Company’s control such as a merger, acquisition or sale of all or substantially all of the Company’s assets (each, a deemed liquidation event), the redeemable convertible preferred stock became redeemable at the option of the holders of at least 55% of the then outstanding shares. The Company did not adjust the carrying values of the redeemable convertible preferred stock to its liquidation preference because a deemed liquidation event obligating the Company to pay the liquidation preferences to holders of shares of redeemable convertible preferred stock was not probable of occurring.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Company has outstanding warrants to purchase 4,999,883 shares of its common stock (the “Common Stock Warrants”), all of which were issued in connection with AMHC’s initial public offering and entitle a holder to purchase one share of the Company’s common stock at an exercise price of $11.50 per share. The Common Stock Warrants are publicly traded and exercisable during the exercise period, which commenced on October 24, 2021 and ends on September 24, 2026, for cash or, in certain circumstances, on a cashless basis. The Common Stock Warrants are accounted as derivative financial instruments. As long as the Company continues to have shares of non-voting common stock outstanding, the Common Stock Warrants do not meet the equity classification guidance and are accounted as liabilities at fair value. The Common Stock Warrants are subsequently remeasured at each reporting date with changes in fair value recorded in the consolidated statements of operations and comprehensive loss until exercise or expiration. Upon conversion of all outstanding shares of non-voting common stock into shares of voting common stock, the Common Stock Warrants will meet the equity classification guidance and will be reclassified to equity at the then-current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At the closing of the Business Combination, the Company recognized the earnout liability related to the Sponsor Support Agreement, dated May 5, 2021 and amended on September 24, 2021, by and among the Company, Amplitude Healthcare Holdings LLC (the “Sponsor”) and Old Jasper (as amended, the “Sponsor Support Agreement”), pursuant to which 1,050,000 shares of common stock that were previously issued to the Sponsor were placed in escrow (the “Earnout Shares”). These shares will be released from escrow upon achieving agreed upon common stock price targets during the specified periods and in three tranches. In accordance with Accounting Standards Codification (“ASC”) Topic 815-40, the Earnout Shares are not indexed to the common stock and therefore are accounted as a liability at fair value at the Closing Date and subsequently remeasured at each reporting date with changes in fair value recorded in the consolidated statements of operations and comprehensive loss. The Company will reassess the classification of the Earnout Shares as triggering events are met or expire.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Tranche Liability</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determined that its obligation to issue additional shares of redeemable convertible preferred stock upon the occurrence of certain events, including a number of patients enrolled in the clinical trials, or the consent of the Company’s Board of Directors (the “Board”), represented a freestanding financial instrument. The instrument was classified as a liability on the consolidated balance sheets and was subject to re-measurement at each balance sheet date and at the settlement date, any change in fair value was recognized in the consolidated statements of operations and comprehensive loss. The derivative tranche liability was settled in February 2021 and is no longer outstanding as of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has entered into various agreements with outsourced vendors, CMOs and CROs.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To date, there have been no material differences between estimates of such expenses and the amounts actually incurred.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expenses research and development (“R&amp;D”) expenses as incurred. R&amp;D expenses consist primarily of personnel-related expenses, clinical studies, engineering and product development costs to support regulatory clearance of, and related regulatory compliance for, the Company’s products. Specifically, R&amp;D expenses that support regulatory approval of, and related regulatory compliance for, the Company’s products include costs associated with the Company’s clinical studies, consisting of clinical trial design, clinical site establishment and management, clinical data management, travel expenses and the costs of products used for the Company’s clinical trials. Personnel-related expenses include salaries, benefits, bonuses and stock-based compensation of the Company’s R&amp;D employees. Non personnel-related expenses include costs of outside consultants, testing, materials and supplies, and allocated overhead. The Company allocates overheads related to rent, facility costs, information technology and human resources costs. R&amp;D expenses are charged to expense when incurred.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General and administrative expenses include compensation, employee benefits and stock-based compensation for executive management, finance administration and human resources, allocated facility costs, professional service fees and other general overhead costs, including allocated depreciation to support the Company’s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measures its stock-based awards made to employees and non-employees based on the estimated fair values of the awards as of the grant date using the Black-Scholes option-pricing model. The model requires management to make a number of assumptions, including common stock fair value, expected volatility, expected term, risk-free interest rate and expected dividend yield. The Company expenses the fair value of its equity-based compensation awards on a straight-line basis over the requisite service period, which is the period in which the related services are received. The Company accounts for award forfeitures as they occur. The expense for stock-based awards with performance conditions is recognized when it is probable that a performance condition is met during the vesting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if all or part of the net deferred tax assets are determined not to be realizable in the future, an adjustment to the valuation allowance would be charged to the provision of income taxes in the period when such determination is made. As of December 31, 2021 and 2020, the Company has recorded a full valuation allowance on its deferred tax assets.</w:t>
      </w:r>
    </w:p>
    <w:p>
      <w:pPr>
        <w:spacing w:after="0" w:line="16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 To date, there have been no interest or penalties recorded in relation to unrecognized tax benefits.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consolidated statements of operations and comprehensive loss and consolidated statements of cash flows. Nonmonetary assets and liabilities are not subsequently re-measured.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Comprehensive loss represents all changes in stockholders’ equity (deficit) except those resulting from distributions to stockholders. There have been no items qualifying as other comprehensive income (loss) during the years ended December 31, 2021 and 2020, and therefore, the Company’s comprehensive loss was the same as its reported net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Basic net loss per share of common stock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adjusted for income (expenses), net of tax, related to any diluted securities, by the weighted-average number of shares of common stock and potentially dilutive securities outstanding for the period. For purposes of the diluted net loss per share calculation, the redeemable convertible preferred stock, common stock subject to repurchase, common stock subject to restricted stock awards, the Earnout Shares, the Common Stock Warrants and stock options are considered to be potentially dilutive securities.</w:t>
      </w:r>
    </w:p>
    <w:p>
      <w:pPr>
        <w:spacing w:after="0" w:line="164"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Basic and diluted net loss attributable to common stockholders per share is presented in conformity with the two-class method required for participating securities. The Company considers all series of its redeemable convertible preferred stock, common stock subject to repurchase, common stock subject to restricted stock awards and the Earnout Shares to be participating securities as the holders are entitled to receive dividends on a pari passu basis in the event that a dividend is paid on the Company’s common stock. The Company’s participating securities do not have a contractual obligation to share in the Company’s losses. As such, the net loss is attributed entirely to common stockholders. For the years ended December 31, 2021 and 2020, the diluted net loss per share of common stock was the same as basic net loss per share of common stock, as the impact of potentially dilutive securities was antidilutive to the net loss per share. The Earnout Shares and common stock subject to restricted stock awards are contingently issuable shares and are not included in the diluted net loss per share calculation until contingencies are resolved.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has determined it operates as a single operating and reportable segment. The Company’s chief operating decision maker, its Chief Executive Officer, manages the Company’s operations on a consolidated basis for the purposes of allocating resources. All long-lived assets are located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693"/>
        <w:spacing w:after="0" w:line="272" w:lineRule="auto"/>
        <w:rPr>
          <w:sz w:val="20"/>
          <w:szCs w:val="20"/>
          <w:color w:val="auto"/>
        </w:rPr>
      </w:pPr>
      <w:r>
        <w:rPr>
          <w:rFonts w:ascii="Arial" w:cs="Arial" w:eastAsia="Arial" w:hAnsi="Arial"/>
          <w:sz w:val="17"/>
          <w:szCs w:val="17"/>
          <w:color w:val="auto"/>
        </w:rPr>
        <w:t>In December 2019, the Financial Accounting Standards Board issued Accounting Standards Update (“ASU”) No. 2019-12, Income Taxes (Topic 740): Simplifying the Accounting for Income Taxes, which removes certain exceptions to the general principles in Topic 740 and improves consistent application of and simplifies U.S. GAAP for other areas of Topic 740 by clarifying and amending existing guidance. For public companies, this ASU is effective for fiscal years beginning after December 15, 2020. For all other entities, this ASU is effective for fiscal years beginning after December 15, 2021, and interim periods within fiscal years beginning after December 15, 2022. Early adoption is permitted. The Company uses the extended transition period for emerging growth companies and plans to adopt this ASU on January 1, 2022. The Company expects the adoption of this ASU will not have a material effect on the Company’s consolidated financial statements and related disclosures.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3. REVERSE RECAPITALIZATION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the Closing Date, the Company consummated the Business Combination in accordance with the BCA. Merger Sub merged with Old Jasper, with Old Jasper as the surviving company and as a wholly-owned subsidiary of AMHC. AMHC was renamed Jasper Therapeutics, Inc., and Old Jasper was renamed Jasper Tx Corp.</w:t>
      </w:r>
    </w:p>
    <w:p>
      <w:pPr>
        <w:spacing w:after="0" w:line="184"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Prior to the closing of the Business Combination, holders of 9,262,099 shares of AMHC’s Class A common stock exercised their right to redeem such shares for cash at a price of approximately $10.01 per share for aggregate payments of $92.7 million, which was paid from AMHC’s trust account.</w:t>
      </w:r>
    </w:p>
    <w:p>
      <w:pPr>
        <w:spacing w:after="0" w:line="12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accordance with the Subscription Agreements between AMHC and the PIPE Investors, AMHC issued to the PIPE Investors 10,000,000 shares of AMHC’s Class A common stock at a price of $10.00 per share, for gross proceeds of $100.0 million. The PIPE Financing was consummated concurrently with the closing of the Business Combination.</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accordance with the BCA, at the closing of the Business Combination, each share of Old Jasper common stock and Old Jasper redeemable convertible preferred stock outstanding immediately prior to the closing was automatically cancelled, extinguished and converted into the number of shares of the Company’s common stock or, in certain circumstances, the Company’s non-voting common stock, based on Old Jasper’s equity value of $275.0 million divided by $10.00. The exchange ratio agreed between the parties was one-for-0.282378 share of the Company’s common stock for all Old Jasper stockholders, except for Amgen Inc. (“Amgen”). Amgen’s 100 shares of Old Jasper’s Series A-2 redeemable convertible preferred stock were converted into 2,200,000 shares of the Company’s common stock, which represented 8% of the Old Jasper equity value, as per the terms of Amgen’s letter agreement with Old Jasper. Each vested and unvested option to purchase shares of Old Jasper’s common stock outstanding at the closing was converted into a comparable option to purchase shares of the Company’s common stock, with the same terms and after giving effect of the exchange ratio. Each unvested award of restricted shares of Old Jasper common stock outstanding immediately prior to the closing was converted into a comparable right to receive restricted shares of the Company’s common stock, after giving effect of the same exchange ratio.</w:t>
      </w:r>
    </w:p>
    <w:p>
      <w:pPr>
        <w:spacing w:after="0" w:line="16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In connection with the Business Combination, immediately prior to the closing, (i) the Sponsor forfeited 200,000 shares of AMHC’s Class B common stock, (ii) each share of AMHC’s Class B common stock outstanding was converted into one share of AMHC’s Class A common stock, and (iii) following such conversion, an aggregate of 13,037,901 shares of AMHC’s Class A common stock (inclusive of 10,000,000 shares of AMHC’s Class A common stock that were issued to the PIPE Investors) were converted into an equivalent number of shares of the Company’s voting common stock. In accordance with the Sponsor Support Agreement, 1,050,000 shares received by the Sponsor were placed in escrow and will be released upon meeting triggering events as defined in the agreement and as described in Note 8 below.</w:t>
      </w:r>
    </w:p>
    <w:p>
      <w:pPr>
        <w:spacing w:after="0" w:line="178"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Immediately after giving effect to the Reverse Recapitalization, there were 36,520,288 shares of the Company’s voting common stock outstanding (which includes 611,818 shares of its common stock subject to restricted stock awards), 1,296,022 shares of the Company’s non-voting common stock outstanding and 2,721,557 shares of the Company’s common stock subject to outstanding options to purchase shares of the Company’s common stock.</w:t>
      </w:r>
    </w:p>
    <w:p>
      <w:pPr>
        <w:spacing w:after="0" w:line="1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Business Combination is accounted for as a reverse recapitalization under U.S. GAAP. This determination is primarily based on Old Jasper’s stockholders comprising a relative majority of the voting power of the Company and having the ability to nominate the members of the Board, Old Jasper’s operations prior to the acquisition comprising the only ongoing operations of the Company, and Old Jasper’s senior management comprising a majority of the senior management of the Company. Under this method of accounting, AMHC is treated as the “acquired” company for financial reporting purposes. Accordingly, for accounting purposes, the consolidated financial statements of the Company represent a continuation of the financial statements of Old Jasper with the Business Combination being treated as the equivalent of the Company issuing stock for the net assets of AMHC, accompanied by a reverse recapitalization. The net assets of AMHC are stated at historical costs, with no goodwill or other intangible assets recorded. Operations prior to the Business Combination are presented as those of Old Jasper.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2" w:name="page133"/>
    <w:bookmarkEnd w:id="132"/>
    <w:p>
      <w:pPr>
        <w:ind w:right="20" w:firstLine="648"/>
        <w:spacing w:after="0" w:line="275" w:lineRule="auto"/>
        <w:rPr>
          <w:sz w:val="20"/>
          <w:szCs w:val="20"/>
          <w:color w:val="auto"/>
        </w:rPr>
      </w:pPr>
      <w:r>
        <w:rPr>
          <w:rFonts w:ascii="Arial" w:cs="Arial" w:eastAsia="Arial" w:hAnsi="Arial"/>
          <w:sz w:val="17"/>
          <w:szCs w:val="17"/>
          <w:color w:val="auto"/>
        </w:rPr>
        <w:t>In connection with the Business Combination, the Company received $95.3 million in net cash proceeds. This amount was comprised of $5.5 million of cash held in AMHC’s trust account from its initial public offering (after payment of redemptions and public offering expenses paid at the closing of the Business Combination) and $100.0 million of cash received by AMHC in connection with the PIPE Financing, net of AMHC’s transaction costs and placement agents’ fees of $9.0 million and operating expense payments of $1.2 million. The Company incurred $5.3 million of transaction costs, consisting of legal, professional, and banking fees, which were recorded as a reduction to additional paid-in capital.</w:t>
      </w:r>
    </w:p>
    <w:p>
      <w:pPr>
        <w:spacing w:after="0" w:line="1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the Closing Date, the Company also recognized AMHC’s net assets of $0.6 million, the fair value of common stock warrant liability of $7.9 million, and the fair value of earnout liability of $15.0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number of shares of common stock issued and outstanding immediately following the consummation of the Business Combination was: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Number of</w:t>
            </w:r>
          </w:p>
        </w:tc>
      </w:tr>
      <w:tr>
        <w:trPr>
          <w:trHeight w:val="241"/>
        </w:trPr>
        <w:tc>
          <w:tcPr>
            <w:tcW w:w="10020" w:type="dxa"/>
            <w:vAlign w:val="bottom"/>
          </w:tcPr>
          <w:p>
            <w:pPr>
              <w:spacing w:after="0"/>
              <w:rPr>
                <w:sz w:val="20"/>
                <w:szCs w:val="20"/>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of AMHC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shares forfeited by the Sponsor</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(200,000)</w:t>
            </w: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Less: redemption of AMHC shares</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(9,262,099)</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Common stock of AMHC</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3,037,901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the PIPE Financing</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21"/>
                <w:szCs w:val="21"/>
                <w:color w:val="auto"/>
              </w:rPr>
            </w:pP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Business Combination and PIPE Financing shares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13,037,901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Old Jasper shares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24,778,409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37,816,310</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57"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rFonts w:ascii="Arial" w:cs="Arial" w:eastAsia="Arial" w:hAnsi="Arial"/>
          <w:sz w:val="18"/>
          <w:szCs w:val="18"/>
          <w:color w:val="auto"/>
        </w:rPr>
      </w:pPr>
    </w:p>
    <w:p>
      <w:pPr>
        <w:ind w:left="980" w:right="140" w:hanging="324"/>
        <w:spacing w:after="0" w:line="263"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3"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6"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4"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The fair value of Level 1 securities is determined using quoted prices in active markets for identical assets. Level 1 securities consist of highly liquid money market funds. In addition, restricted cash collateralized by money market funds is a financial asset measured at fair value and is a Level 1 financial instrument under the fair value hierarchy.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jc w:val="both"/>
        <w:ind w:firstLine="648"/>
        <w:spacing w:after="0" w:line="257" w:lineRule="auto"/>
        <w:rPr>
          <w:sz w:val="20"/>
          <w:szCs w:val="20"/>
          <w:color w:val="auto"/>
        </w:rPr>
      </w:pPr>
      <w:r>
        <w:rPr>
          <w:rFonts w:ascii="Arial" w:cs="Arial" w:eastAsia="Arial" w:hAnsi="Arial"/>
          <w:sz w:val="18"/>
          <w:szCs w:val="18"/>
          <w:color w:val="auto"/>
        </w:rPr>
        <w:t>Financial assets and liabilities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 The Company had no financial instruments classified at Level 2 as of December 31, 2021 and 2020.</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Financial assets and liabilities are considered Level 3 when their fair values are determined using pricing models, discounted cash flow methodologies, or similar techniques and at least one significant model assumption or input is unobservable. Level 3 liabilities that are measured at fair value on a recurring basis included the derivative tranche liability, which was extinguished in February 2021, and earnout liability, which was recognized in connection with the Business Combination.</w:t>
      </w:r>
    </w:p>
    <w:p>
      <w:pPr>
        <w:spacing w:after="0" w:line="1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During the periods presented, the Company has not changed the manner in which it values liabilities that are measured at estimated fair value using Level 3 inputs. There were no transfers within the hierarchy during the years ended December 31, 2021 and 2020.</w:t>
      </w:r>
    </w:p>
    <w:p>
      <w:pPr>
        <w:spacing w:after="0" w:line="1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measured on a recurring basis by level within the fair value hierarchy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December 31, 2021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Financial assets</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fair value of assets</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83,701</w:t>
            </w:r>
          </w:p>
        </w:tc>
        <w:tc>
          <w:tcPr>
            <w:tcW w:w="12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83,701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warrant liability</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7,350</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Earnout liability</w:t>
            </w:r>
          </w:p>
        </w:tc>
        <w:tc>
          <w:tcPr>
            <w:tcW w:w="220" w:type="dxa"/>
            <w:vAlign w:val="bottom"/>
          </w:tcPr>
          <w:p>
            <w:pPr>
              <w:spacing w:after="0"/>
              <w:rPr>
                <w:sz w:val="19"/>
                <w:szCs w:val="19"/>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fair value of financial liabilities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ind w:left="320"/>
              <w:spacing w:after="0"/>
              <w:rPr>
                <w:sz w:val="20"/>
                <w:szCs w:val="20"/>
                <w:color w:val="auto"/>
              </w:rPr>
            </w:pPr>
            <w:r>
              <w:rPr>
                <w:rFonts w:ascii="Arial" w:cs="Arial" w:eastAsia="Arial" w:hAnsi="Arial"/>
                <w:sz w:val="18"/>
                <w:szCs w:val="18"/>
                <w:b w:val="1"/>
                <w:bCs w:val="1"/>
                <w:color w:val="auto"/>
              </w:rPr>
              <w:t>December 31, 2020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Financial assets</w:t>
            </w:r>
          </w:p>
        </w:tc>
        <w:tc>
          <w:tcPr>
            <w:tcW w:w="1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fair value of assets</w:t>
            </w: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80" w:type="dxa"/>
            <w:vAlign w:val="bottom"/>
            <w:vMerge w:val="continue"/>
          </w:tcPr>
          <w:p>
            <w:pPr>
              <w:spacing w:after="0"/>
              <w:rPr>
                <w:sz w:val="24"/>
                <w:szCs w:val="24"/>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18,778</w:t>
            </w:r>
          </w:p>
        </w:tc>
        <w:tc>
          <w:tcPr>
            <w:tcW w:w="120" w:type="dxa"/>
            <w:vAlign w:val="bottom"/>
          </w:tcPr>
          <w:p>
            <w:pPr>
              <w:spacing w:after="0"/>
              <w:rPr>
                <w:sz w:val="24"/>
                <w:szCs w:val="24"/>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18,778</w:t>
            </w:r>
          </w:p>
        </w:tc>
        <w:tc>
          <w:tcPr>
            <w:tcW w:w="0" w:type="dxa"/>
            <w:vAlign w:val="bottom"/>
          </w:tcPr>
          <w:p>
            <w:pPr>
              <w:spacing w:after="0"/>
              <w:rPr>
                <w:sz w:val="1"/>
                <w:szCs w:val="1"/>
                <w:color w:val="auto"/>
              </w:rPr>
            </w:pPr>
          </w:p>
        </w:tc>
      </w:tr>
      <w:tr>
        <w:trPr>
          <w:trHeight w:val="243"/>
        </w:trPr>
        <w:tc>
          <w:tcPr>
            <w:tcW w:w="4080" w:type="dxa"/>
            <w:vAlign w:val="bottom"/>
            <w:tcBorders>
              <w:top w:val="single" w:sz="8" w:color="CCEEFF"/>
            </w:tcBorders>
            <w:shd w:val="clear" w:color="auto" w:fill="CCEEFF"/>
          </w:tcPr>
          <w:p>
            <w:pPr>
              <w:spacing w:after="0"/>
              <w:rPr>
                <w:sz w:val="21"/>
                <w:szCs w:val="21"/>
                <w:color w:val="auto"/>
              </w:rPr>
            </w:pPr>
          </w:p>
        </w:tc>
        <w:tc>
          <w:tcPr>
            <w:tcW w:w="19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2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fair value of financial liabilities</w:t>
            </w:r>
          </w:p>
        </w:tc>
        <w:tc>
          <w:tcPr>
            <w:tcW w:w="1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8,158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8,158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00" w:type="dxa"/>
            <w:vAlign w:val="bottom"/>
            <w:vMerge w:val="restart"/>
          </w:tcPr>
          <w:p>
            <w:pPr>
              <w:jc w:val="right"/>
              <w:ind w:right="130"/>
              <w:spacing w:after="0"/>
              <w:rPr>
                <w:sz w:val="20"/>
                <w:szCs w:val="20"/>
                <w:color w:val="auto"/>
              </w:rPr>
            </w:pPr>
            <w:r>
              <w:rPr>
                <w:rFonts w:ascii="Arial" w:cs="Arial" w:eastAsia="Arial" w:hAnsi="Arial"/>
                <w:sz w:val="18"/>
                <w:szCs w:val="18"/>
                <w:color w:val="auto"/>
              </w:rPr>
              <w:t>131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6"/>
          <w:szCs w:val="16"/>
          <w:color w:val="auto"/>
        </w:rPr>
        <w:t>The following table sets forth a summary of the changes in the fair value of the Company’s Level 3 financial liabilities (in thousands):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as of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fair value of derivative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the fair value included in other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Settlement of obligation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fair value of earnout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Change in the fair value included in other expense (income)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Settlement of obligation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Derivative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1"/>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tranche liability</w:t>
            </w:r>
          </w:p>
        </w:tc>
        <w:tc>
          <w:tcPr>
            <w:tcW w:w="1420" w:type="dxa"/>
            <w:vAlign w:val="bottom"/>
            <w:gridSpan w:val="4"/>
          </w:tcPr>
          <w:p>
            <w:pPr>
              <w:spacing w:after="0"/>
              <w:rPr>
                <w:sz w:val="20"/>
                <w:szCs w:val="20"/>
                <w:color w:val="auto"/>
              </w:rPr>
            </w:pPr>
            <w:r>
              <w:rPr>
                <w:rFonts w:ascii="Arial" w:cs="Arial" w:eastAsia="Arial" w:hAnsi="Arial"/>
                <w:sz w:val="18"/>
                <w:szCs w:val="18"/>
                <w:b w:val="1"/>
                <w:bCs w:val="1"/>
                <w:color w:val="auto"/>
                <w:w w:val="99"/>
              </w:rPr>
              <w:t>Earnout Liability</w:t>
            </w:r>
          </w:p>
        </w:tc>
      </w:tr>
      <w:tr>
        <w:trPr>
          <w:trHeight w:val="202"/>
        </w:trPr>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4,053</w:t>
            </w: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10,875</w:t>
            </w:r>
          </w:p>
        </w:tc>
        <w:tc>
          <w:tcPr>
            <w:tcW w:w="4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4"/>
        </w:trPr>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(6,770)</w:t>
            </w:r>
          </w:p>
        </w:tc>
        <w:tc>
          <w:tcPr>
            <w:tcW w:w="4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8,158</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8,158</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15,020</w:t>
            </w:r>
          </w:p>
        </w:tc>
      </w:tr>
      <w:tr>
        <w:trPr>
          <w:trHeight w:val="216"/>
        </w:trPr>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3,501</w:t>
            </w:r>
          </w:p>
        </w:tc>
        <w:tc>
          <w:tcPr>
            <w:tcW w:w="4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(9,277)</w:t>
            </w:r>
          </w:p>
        </w:tc>
      </w:tr>
      <w:tr>
        <w:trPr>
          <w:trHeight w:val="244"/>
        </w:trPr>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(11,659)</w:t>
            </w:r>
          </w:p>
        </w:tc>
        <w:tc>
          <w:tcPr>
            <w:tcW w:w="48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5,743</w:t>
            </w:r>
          </w:p>
        </w:tc>
        <w:tc>
          <w:tcPr>
            <w:tcW w:w="40" w:type="dxa"/>
            <w:vAlign w:val="bottom"/>
          </w:tcPr>
          <w:p>
            <w:pPr>
              <w:spacing w:after="0"/>
              <w:rPr>
                <w:sz w:val="21"/>
                <w:szCs w:val="21"/>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557" w:right="339" w:bottom="1440" w:gutter="0" w:footer="0" w:header="0"/>
          <w:type w:val="continuous"/>
        </w:sectPr>
      </w:pPr>
    </w:p>
    <w:p>
      <w:pPr>
        <w:spacing w:after="0" w:line="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derivative tranche liability was measured using the option pricing method by estimating the value using the Black-Scholes model. The significant inputs used in the Black-Scholes model include the fair value of the redeemable convertible preferred stock, the risk-free interest rate, the expected volatility and the expected term when each tranche will be settled. The fair value of the derivative tranche liability equaled its intrinsic value, a difference between the issued redeemable convertible preferred stock shares’ fair value and the price paid by investors, at the date of settlement in February 2021.</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estimated fair value of the earnout liability is determined using Monte Carlo simulation model, which uses a distribution of potential outcomes on a monthly basis over the earnout period prioritizing the most reliable information available. The assumptions utilized in the calculation are based on the achievement of certain stock price milestones, including the current Company’s common stock price, expected volatility, risk-free rate and expected term. The estimates of fair value are uncertain and changes in any of the estimated inputs used as of the date of this report could have resulted in significant adjustments to the fair value.</w:t>
      </w:r>
    </w:p>
    <w:p>
      <w:pPr>
        <w:spacing w:after="0" w:line="188"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inputs and valuation methodologies used for the Company’s fair value measurements classified in Level 3 of the fair value hierarchy at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Pr>
          <w:p>
            <w:pPr>
              <w:spacing w:after="0"/>
              <w:rPr>
                <w:sz w:val="20"/>
                <w:szCs w:val="20"/>
                <w:color w:val="auto"/>
              </w:rPr>
            </w:pPr>
          </w:p>
        </w:tc>
        <w:tc>
          <w:tcPr>
            <w:tcW w:w="220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(in thousands)</w:t>
            </w:r>
          </w:p>
        </w:tc>
        <w:tc>
          <w:tcPr>
            <w:tcW w:w="2680" w:type="dxa"/>
            <w:vAlign w:val="bottom"/>
          </w:tcPr>
          <w:p>
            <w:pPr>
              <w:ind w:left="440"/>
              <w:spacing w:after="0"/>
              <w:rPr>
                <w:sz w:val="20"/>
                <w:szCs w:val="20"/>
                <w:color w:val="auto"/>
              </w:rPr>
            </w:pPr>
            <w:r>
              <w:rPr>
                <w:rFonts w:ascii="Arial" w:cs="Arial" w:eastAsia="Arial" w:hAnsi="Arial"/>
                <w:sz w:val="18"/>
                <w:szCs w:val="18"/>
                <w:b w:val="1"/>
                <w:bCs w:val="1"/>
                <w:color w:val="auto"/>
              </w:rPr>
              <w:t>Valuation methodology</w:t>
            </w:r>
          </w:p>
        </w:tc>
        <w:tc>
          <w:tcPr>
            <w:tcW w:w="100" w:type="dxa"/>
            <w:vAlign w:val="bottom"/>
          </w:tcPr>
          <w:p>
            <w:pPr>
              <w:spacing w:after="0"/>
              <w:rPr>
                <w:sz w:val="20"/>
                <w:szCs w:val="20"/>
                <w:color w:val="auto"/>
              </w:rPr>
            </w:pPr>
          </w:p>
        </w:tc>
        <w:tc>
          <w:tcPr>
            <w:tcW w:w="32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Significant unobservable input</w:t>
            </w:r>
          </w:p>
        </w:tc>
      </w:tr>
      <w:tr>
        <w:trPr>
          <w:trHeight w:val="216"/>
        </w:trPr>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Earnout liability</w:t>
            </w:r>
          </w:p>
        </w:tc>
        <w:tc>
          <w:tcPr>
            <w:tcW w:w="840" w:type="dxa"/>
            <w:vAlign w:val="bottom"/>
            <w:tcBorders>
              <w:top w:val="single" w:sz="8" w:color="auto"/>
            </w:tcBorders>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Monte Carlo Simulation</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4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7.85</w:t>
            </w:r>
          </w:p>
        </w:tc>
      </w:tr>
      <w:tr>
        <w:trPr>
          <w:trHeight w:val="216"/>
        </w:trPr>
        <w:tc>
          <w:tcPr>
            <w:tcW w:w="3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4"/>
              </w:rPr>
              <w:t>Expected term (in years)</w:t>
            </w:r>
          </w:p>
        </w:tc>
        <w:tc>
          <w:tcPr>
            <w:tcW w:w="480" w:type="dxa"/>
            <w:vAlign w:val="bottom"/>
          </w:tcPr>
          <w:p>
            <w:pPr>
              <w:spacing w:after="0"/>
              <w:rPr>
                <w:sz w:val="18"/>
                <w:szCs w:val="18"/>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2.73</w:t>
            </w:r>
          </w:p>
        </w:tc>
      </w:tr>
      <w:tr>
        <w:trPr>
          <w:trHeight w:val="216"/>
        </w:trPr>
        <w:tc>
          <w:tcPr>
            <w:tcW w:w="3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Expected volatility</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r>
      <w:tr>
        <w:trPr>
          <w:trHeight w:val="230"/>
        </w:trPr>
        <w:tc>
          <w:tcPr>
            <w:tcW w:w="3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0.90%</w:t>
            </w:r>
          </w:p>
        </w:tc>
      </w:tr>
    </w:tbl>
    <w:p>
      <w:pPr>
        <w:spacing w:after="0" w:line="187"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The following table presents quantitative information about the inputs and valuation methodologies used for the Company’s fair value measurements classified in Level 3 of the fair value hierarchy at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222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 (in thousands)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Valuation methodology</w:t>
            </w:r>
          </w:p>
        </w:tc>
        <w:tc>
          <w:tcPr>
            <w:tcW w:w="100" w:type="dxa"/>
            <w:vAlign w:val="bottom"/>
          </w:tcPr>
          <w:p>
            <w:pPr>
              <w:spacing w:after="0"/>
              <w:rPr>
                <w:sz w:val="20"/>
                <w:szCs w:val="20"/>
                <w:color w:val="auto"/>
              </w:rPr>
            </w:pPr>
          </w:p>
        </w:tc>
        <w:tc>
          <w:tcPr>
            <w:tcW w:w="31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Significant unobservable input</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tranche liability</w:t>
            </w:r>
          </w:p>
        </w:tc>
        <w:tc>
          <w:tcPr>
            <w:tcW w:w="840" w:type="dxa"/>
            <w:vAlign w:val="bottom"/>
            <w:tcBorders>
              <w:top w:val="single" w:sz="8" w:color="auto"/>
            </w:tcBorders>
            <w:shd w:val="clear" w:color="auto" w:fill="CCEEFF"/>
          </w:tcPr>
          <w:p>
            <w:pPr>
              <w:jc w:val="right"/>
              <w:ind w:right="678"/>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w:t>
            </w:r>
          </w:p>
        </w:tc>
        <w:tc>
          <w:tcPr>
            <w:tcW w:w="2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Black-Scholes</w:t>
            </w:r>
          </w:p>
        </w:tc>
        <w:tc>
          <w:tcPr>
            <w:tcW w:w="10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0.16</w:t>
            </w:r>
          </w:p>
        </w:tc>
      </w:tr>
      <w:tr>
        <w:trPr>
          <w:trHeight w:val="216"/>
        </w:trPr>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47.02%</w:t>
            </w:r>
          </w:p>
        </w:tc>
      </w:tr>
      <w:tr>
        <w:trPr>
          <w:trHeight w:val="216"/>
        </w:trPr>
        <w:tc>
          <w:tcPr>
            <w:tcW w:w="3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30"/>
        </w:trPr>
        <w:tc>
          <w:tcPr>
            <w:tcW w:w="3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425"/>
        </w:trPr>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NOTE 5. CONSOLIDATED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details of prepaid expenses and other current assets as of the dates set forth below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Payroll tax credit receivable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 deposit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4"/>
          </w:tcPr>
          <w:p>
            <w:pPr>
              <w:ind w:left="660"/>
              <w:spacing w:after="0"/>
              <w:rPr>
                <w:sz w:val="20"/>
                <w:szCs w:val="20"/>
                <w:color w:val="auto"/>
              </w:rPr>
            </w:pPr>
            <w:r>
              <w:rPr>
                <w:rFonts w:ascii="Arial" w:cs="Arial" w:eastAsia="Arial" w:hAnsi="Arial"/>
                <w:sz w:val="18"/>
                <w:szCs w:val="18"/>
                <w:color w:val="auto"/>
                <w:w w:val="97"/>
              </w:rPr>
              <w:t>The following table summarizes the details of property and equipment, net as of the dates set forth below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Lab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fixtures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4,063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Depreciation and amortization expense for the year ended December 31, 2021 was $0.4 million. No depreciation or amortization expense was recognized during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summarizes the details of accrued expenses and other current liabilities as of the dates set forth below (in thousands):</w:t>
      </w:r>
    </w:p>
    <w:p>
      <w:pPr>
        <w:spacing w:after="0" w:line="235"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ectPr>
          <w:pgSz w:w="11900" w:h="16838" w:orient="portrait"/>
          <w:cols w:equalWidth="0" w:num="1">
            <w:col w:w="11240"/>
          </w:cols>
          <w:pgMar w:left="320" w:top="553" w:right="339" w:bottom="1440" w:gutter="0" w:footer="0" w:header="0"/>
        </w:sect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Accrued employee and related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License option liability,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02"/>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1,660</w:t>
            </w:r>
          </w:p>
        </w:tc>
        <w:tc>
          <w:tcPr>
            <w:tcW w:w="22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1,263</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3,596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2,595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553"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ind w:left="660"/>
              <w:spacing w:after="0"/>
              <w:rPr>
                <w:sz w:val="20"/>
                <w:szCs w:val="20"/>
                <w:color w:val="auto"/>
              </w:rPr>
            </w:pPr>
            <w:r>
              <w:rPr>
                <w:rFonts w:ascii="Arial" w:cs="Arial" w:eastAsia="Arial" w:hAnsi="Arial"/>
                <w:sz w:val="18"/>
                <w:szCs w:val="18"/>
                <w:color w:val="auto"/>
                <w:w w:val="93"/>
              </w:rPr>
              <w:t>The following table summarizes the details of other non-current liabilities as of the dates set forth below (in thousands):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CIRM grant liability</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tax liability</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liability</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License option liability, non-current</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643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853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CIRM GRANT</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November 2020, California Institute for Regenerative Medicine (“CIRM”) awarded the Company $2.3 million in support of the research project related to a monoclonal antibody that depletes blood stem cells and enables chemotherapy-free transplants. The award is payable to the Company upon achievement of milestones over the next three years that are primarily based on patients’ enrollment to the Company’s clinical trials. Funds received under this grant may only be used for allowable project costs specifically identified in connection with the CIRM-funded project. Such costs can include but are not limited to salary for personnel, itemized supplies, consultants, and itemized clinical study costs. Under the terms of the grant, both CIRM and the Company will co-fund the research project and the amount of the Company’s co-funding requirement is predetermined as a part of the award. Under the terms of the CIRM grant, the Company is obligated to pay royalties and licensing fees based on 0.1% of net sales of CIRM-funded product candidates or CIRM-funded technology per $1.0 million of CIRM grant. As an alternative to revenue sharing, the Company has the option to convert the award to a loan. In the event the Company exercises its right to convert the award to a loan, it would be obligated to repay the loan within ten business days of making such election. Repayment amounts vary dependent on when the award is converted to a loan, ranging from 60% of the award granted to amounts received plus interest at the rate of the three-month LIBOR rate plus 25% per annum. Since the Company may be required to repay some or all of the amounts awarded by CIRM, the Company accounted for this award as a liability. Given the uncertainty in amounts due upon repayment, the Company has recorded amounts received without any discount or interest recorded, and upon determination of amounts that would become due, the Company will adjust accordingly. As of December 31, 2020, the Company met a milestone and had recorded $0.6 million in other receivables for the milestone that was met and $0.6 million in other long-term liabilities related to this grant. The Company received an aggregate of $0.6 million from CIRM in January and March 2021. As of December 31, 2021, the Company recorded $0.6 million in other long-term liabilities related to this grant. As of December 31, 2021 $1.7 million is available for future distribution to the Company under the grant upon achievement of milestones.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SIGNIFICANT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License Agreement</w:t>
      </w:r>
    </w:p>
    <w:p>
      <w:pPr>
        <w:spacing w:after="0" w:line="22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On November 21, 2019, the Company entered into a license agreement with Amgen (the “Amgen License Agreement”), pursuant to which the Company obtained an exclusive, sublicensable license for certain patents, data, and non-data know-how related to Amgen’s proprietary monoclonal antibody known as AMG 191, as renamed to JSP191 (“JSP191”). Concurrently with the execution of the license agreement, Amgen assigned to the Company its rights and obligations under the Investigator Sponsored Research Agreement (the “ISRA”) previously entered into in June 2013 between Amgen and The Board of Trustees of the Leland Stanford Junior University (“Stanford”) related to the study of JSP191.</w:t>
      </w:r>
    </w:p>
    <w:p>
      <w:pPr>
        <w:spacing w:after="0" w:line="16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Under the ISRA, the Company was provided an option to negotiate a definitive license with Stanford for rights to certain Stanford intellectual property related to the study of JSP191 in exchange for an option exercise fee of $1.0 million, payable over a two-year period (the “Option”). There are no other fees due under the ISRA. The Company exercised the Option in June 2020, and the definitive license with Stanford (the “Stanford License Agreement”) was executed in March 2021. Upon exercise of the Option, the $1.0 million option exercise fee was recognized as research and development cost. In June 2020, the Company and Stanford agreed that the Investigational New Drug Application (“IND”) and control of the study related to the ISRA would be transferred to the Company. The Company paid $0.2 million related to the option exercise fee in each of June and November 2020. As of December 31, 2020, the Company had accrued $0.4 million and $0.2 million as current and noncurrent liabilities, respectively. In 2021, the Company paid $0.4 million of the option exercise fee and included the unsettled liability of $0.2 million in accrued expenses and other current liabilities as of December 31, 2021.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ind w:firstLine="648"/>
        <w:spacing w:after="0" w:line="263" w:lineRule="auto"/>
        <w:rPr>
          <w:sz w:val="20"/>
          <w:szCs w:val="20"/>
          <w:color w:val="auto"/>
        </w:rPr>
      </w:pPr>
      <w:r>
        <w:rPr>
          <w:rFonts w:ascii="Arial" w:cs="Arial" w:eastAsia="Arial" w:hAnsi="Arial"/>
          <w:sz w:val="18"/>
          <w:szCs w:val="18"/>
          <w:color w:val="auto"/>
        </w:rPr>
        <w:t>As consideration for the rights granted to the Company under the license agreement with Amgen, Old Jasper issued Amgen 100 shares of Old Jasper’s Series A-2 redeemable convertible preferred stock in November 2019, the fair value of which was estimated at $0.9 million, which was recognized as research and development expense in the same period.</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Amgen License Agreement terminates on a country-by-country basis on the 10th anniversary of the date on which the exploitation of the licensed products is no longer covered by a valid claim under a licensed patent in such country. On a country-by-country basis, upon the expiration of the term in each country with respect to the licensed products, the licenses to the Company by Amgen become fully paid and non-exclusive. The Company and Amgen have the right to terminate the agreement for a material breach as specified in the agreement.</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the closing of the Business Combination, Amgen owns more than 5% of the Company’s outstanding common stock and is considered to be a related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Stanford License Agreement</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March 2021, the Company entered into the Stanford License Agreement, following the exercise of the Option in June 2020. The Company received a worldwide, exclusive license with a right to sublicense for JSP191 in the field of depleting endogenous blood stem cells in patients for whom hematopoietic cell transplantation is indicated. Stanford transferred to the Company certain know-how and patents related to JSP191 (together, the “Licensed Technology”). Under the terms of this agreement, the Company will use commercially reasonable efforts to develop, manufacture, and sell licensed product and to develop markets for a licensed product. In addition, the Company will use commercially reasonable efforts to meet the milestones as specified in the agreement over the next six years and must notify Stanford in writing as each milestone is met.</w:t>
      </w:r>
    </w:p>
    <w:p>
      <w:pPr>
        <w:spacing w:after="0" w:line="16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will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The Company is also obligated to pay late-stage clinical development milestones and first commercial sales milestone payments of up to $9.0 million in total. The Company will also pay low single-digit royalties on net sales of licensed products, if approved. No payments have been made under the Stanford License Agreement during the year ended December 31, 2021.</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Stanford License Agreement expires on a country-by-country basis on the last-to-expire valid claim of a licensed patent in such country. The Company may terminate the agreement by giving Stanford written notice at least 12 months in advance of the effective date of termination. The Company may also terminate the agreement solely with respect to any particular patent application or patent by giving Stanford written notice at least 60 days in advance of the effective date of termination. Stanford may terminate the agreement after 90 days from a written notice by Stanford, specifying a problem, including a delinquency on any report required pursuant to agreement or any payment, missing a milestone or for a material breach, unless the Company remediates the problem in that 90-day 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Tranche Liability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determined that the obligation to issue additional shares of Series A-1 redeemable convertible preferred stock at the milestone closing at any time on or prior to April 2021 was a freestanding financial instrument that was required to be accounted as a liability initially recorded and subsequently remeasured at fair value until such instrument is exercised or expires. In November 2019, the milestone closing liability was initially recorded at an estimated fair value of $4.3 million.</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On September 3, 2020, Old Jasper’s board of directors amended the Series A-1 purchase agreement to split the milestone closing to two tranches, revised acceptable timing of the existing milestone closing and added terms of the second milestone closing to occur on or prior to April 15, 2021.</w:t>
      </w:r>
    </w:p>
    <w:p>
      <w:pPr>
        <w:spacing w:after="0" w:line="124"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The first milestone was re-measured at fair value of $6.8 million at the settlement date in November 2020 and was reclassified to redeemable convertible preferred stock upon the issuance of 4,042,568 shares of Series A-1 redeemable convertible preferred stock in November 2020. The second milestone closing was re-measured at fair value of $11.7 million at the settlement date in February 2021 and was reclassified to redeemable convertible preferred stock upon the issuance of 4,042,565 shares of Series A-1 redeemable convertible preferred stock. Assumptions used in the valuation at the second milestone closing are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February 26,</w:t>
            </w:r>
          </w:p>
        </w:tc>
      </w:tr>
      <w:tr>
        <w:trPr>
          <w:trHeight w:val="241"/>
        </w:trPr>
        <w:tc>
          <w:tcPr>
            <w:tcW w:w="9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Series A-1 redeemable convertible preferred stock value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Purchase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ind w:right="680" w:firstLine="648"/>
        <w:spacing w:after="0" w:line="263" w:lineRule="auto"/>
        <w:rPr>
          <w:sz w:val="20"/>
          <w:szCs w:val="20"/>
          <w:color w:val="auto"/>
        </w:rPr>
      </w:pPr>
      <w:r>
        <w:rPr>
          <w:rFonts w:ascii="Arial" w:cs="Arial" w:eastAsia="Arial" w:hAnsi="Arial"/>
          <w:sz w:val="18"/>
          <w:szCs w:val="18"/>
          <w:color w:val="auto"/>
        </w:rPr>
        <w:t>The Company recorded $3.5 million and $10.9 million loss from the remeasurement of the derivative tranche liability in its consolidated statements of operations and comprehensive loss during the years ended December 31, 2021 and 2020, respectively. As of December 31, 2021, the derivative tranche liability was fully settled.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Common Stock Warrants are traded on the Nasdaq Capital Market and may only be exercised for a whole number of shares. The Common Stock Warrants became exercisable on October 24, 2021 and expire on September 24, 2026, unless early redeemed or if the Company extends the exercise period. The fair value of $7.9 million of Common Stock Warrants was recognized as a liability on September 24, 2021, the Closing Date, based on the closing market price. 110 Common Stock Warrants have been exercised as of December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9" w:name="page140"/>
    <w:bookmarkEnd w:id="139"/>
    <w:p>
      <w:pPr>
        <w:ind w:right="280" w:firstLine="648"/>
        <w:spacing w:after="0" w:line="342" w:lineRule="auto"/>
        <w:rPr>
          <w:sz w:val="20"/>
          <w:szCs w:val="20"/>
          <w:color w:val="auto"/>
        </w:rPr>
      </w:pPr>
      <w:r>
        <w:rPr>
          <w:rFonts w:ascii="Arial" w:cs="Arial" w:eastAsia="Arial" w:hAnsi="Arial"/>
          <w:sz w:val="16"/>
          <w:szCs w:val="16"/>
          <w:color w:val="auto"/>
        </w:rPr>
        <w:t>The Company recognized a gain of $0.5 million for the year ended December 31, 2021, classified within change in fair value of common stock warrant liability in the consolidated statements of operations. The Common Stock Warrants’ fair value was $7.4 million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Liability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Upon the closing of the Business Combination and pursuant to the Sponsor Support Agreement, the Sponsor agreed to place the Earnout Shares into escrow, which will be released as follows: (a) 250,000 Earnout Shares will be released if, during the period from and after September 24, 2021 until the September 24, 2024 (the “Earnout Period”), over any twenty trading days within any thirty-day consecutive trading day period, the volume-weighted average price of the Company’s common stock (the “Applicable VWAP”) is greater than or equal to $11.50, (b) 500,000 Earnout Shares will be released if, during the Earnout Period, the Applicable VWAP is greater than or equal to $15.00, and (c) 300,000 Earnout Shares will be released if, during the Earnout Period, the Applicable VWAP is greater than or equal to $18.00 (the “triggering events”).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Earnout Shares placed in escrow are legally issued and outstanding shares that participate in voting and dividends. The Earnout Shares (along with related escrowed dividends, if any) will be forfeited and not released from escrow at the end of the Earnout Period unless the triggering events described above are achieved during the Earnout Period. Upon the closing of the Business Combination, the contingent obligation to release the Earnout Shares was accounted for as a liability classified financial instrument upon their initial recognition because the triggering events that determine the number of shares required to be released from escrow include events that were not solely indexed to the common stock of the Company. The earnout liability is remeasured each reporting period with changes in fair value recognized in earnings.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At the closing of the Business Combination, the estimated fair value of the earnout liability was $15.0 million based on a Monte Carlo simulation model. Assumptions used in the valuation are described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September 24,</w:t>
            </w:r>
          </w:p>
        </w:tc>
      </w:tr>
      <w:tr>
        <w:trPr>
          <w:trHeight w:val="241"/>
        </w:trPr>
        <w:tc>
          <w:tcPr>
            <w:tcW w:w="9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value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0.55%</w:t>
            </w:r>
          </w:p>
        </w:tc>
      </w:tr>
    </w:tbl>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At December 31, 2021, the estimated fair value of the earnout liability was $5.7 million based on a Monte Carlo simulation model. Assumptions used in the valuation as of December 31, 2021 are described in Note 4. No triggering event occurred as of December 31, 2021. The Company recognized a gain of $9.3 million for the year ended December 31, 2021, classified within change in fair value of earnout liability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August 2020, the Company entered into an operating lease for laboratory and office space in Redwood City, California, that expires in August 2026. In January 2022, this lease was amended to add additional rented space (Note 17). In conjunction with signing the lease, the Company secured a letter of credit in favor of the lessor in the amount of $0.3 million. The funds related to this letter of credit are presented as restricted cash on the Company’s consolidated balance sheets. The lease agreement includes an escalation clause for increased base rent and a renewal provision allowing the Company to extend this lease for an additional 60 months at the prevailing rental rate, which the Company is not reasonably certain to exercise. In addition to base rent, the Company will pay its share of operating expenses and taxes.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right="20" w:firstLine="648"/>
        <w:spacing w:after="0" w:line="293" w:lineRule="auto"/>
        <w:rPr>
          <w:sz w:val="20"/>
          <w:szCs w:val="20"/>
          <w:color w:val="auto"/>
        </w:rPr>
      </w:pPr>
      <w:r>
        <w:rPr>
          <w:rFonts w:ascii="Arial" w:cs="Arial" w:eastAsia="Arial" w:hAnsi="Arial"/>
          <w:sz w:val="16"/>
          <w:szCs w:val="16"/>
          <w:color w:val="auto"/>
        </w:rPr>
        <w:t>To complete certain leasehold improvements, the lessor agreed to provide the Company a tenant improvement allowance of $1.2 million as well as an option to take an additional allowance of $0.4 million to be repaid over the lease term at an interest rate of 9% per annum, which the Company exercised. The Company recognized $1.6 million and $0.3 million in leasehold improvements covered by these allowances as of December 31, 2021 and 2020, respectively. In accordance with the lease agreement, the lessor managed and supervised the construction of the improvements. In exchange for these services, the Company paid the lessor a fee equal to 5% of total construction costs. The leasehold improvements constructed are presented under property and equipment on the Company’s consolidated balance sheets and will be amortized on a straight-line basis over the remaining lease term.</w:t>
      </w:r>
    </w:p>
    <w:p>
      <w:pPr>
        <w:spacing w:after="0" w:line="16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addition to the construction management and supervision fee noted above, the Company pays variable costs related to its share of operating expenses and taxes. These variable costs are recorded as lease expense as incurred and presented as operating expenses in the consolidated statements of operations and comprehensive loss.</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components of lease costs, which were included in the Company’s consolidated statements of operations and comprehensive loss,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479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$90,000 and $13,000 of variable lease cost related to the construction management and supervision fee during the years ended December 31, 2021 and 2020, respectively, and $50,000 variable costs related to operating expenses or taxes during the year ended December 31, 2021. No variable costs related to operating expenses or taxes have been incurred as of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ind w:left="660"/>
              <w:spacing w:after="0"/>
              <w:rPr>
                <w:sz w:val="20"/>
                <w:szCs w:val="20"/>
                <w:color w:val="auto"/>
              </w:rPr>
            </w:pPr>
            <w:r>
              <w:rPr>
                <w:rFonts w:ascii="Arial" w:cs="Arial" w:eastAsia="Arial" w:hAnsi="Arial"/>
                <w:sz w:val="18"/>
                <w:szCs w:val="18"/>
                <w:color w:val="auto"/>
              </w:rPr>
              <w:t>Supplemental information related to the Company’s operating leases is as follows: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8600" w:type="dxa"/>
            <w:vAlign w:val="bottom"/>
          </w:tcPr>
          <w:p>
            <w:pPr>
              <w:spacing w:after="0"/>
              <w:rPr>
                <w:sz w:val="24"/>
                <w:szCs w:val="24"/>
                <w:color w:val="auto"/>
              </w:rPr>
            </w:pPr>
          </w:p>
        </w:tc>
        <w:tc>
          <w:tcPr>
            <w:tcW w:w="26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Year ended December 31,</w:t>
            </w:r>
          </w:p>
        </w:tc>
      </w:tr>
      <w:tr>
        <w:trPr>
          <w:trHeight w:val="236"/>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 (in thousands)</w:t>
            </w:r>
          </w:p>
        </w:tc>
        <w:tc>
          <w:tcPr>
            <w:tcW w:w="760" w:type="dxa"/>
            <w:vAlign w:val="bottom"/>
            <w:shd w:val="clear" w:color="auto" w:fill="CCEEFF"/>
          </w:tcPr>
          <w:p>
            <w:pPr>
              <w:jc w:val="right"/>
              <w:ind w:right="59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remaining lease term (years)</w:t>
            </w:r>
          </w:p>
        </w:tc>
        <w:tc>
          <w:tcPr>
            <w:tcW w:w="7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8.00%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a maturity analysis of the Company’s operating lease liabilities showing the aggregate lease payments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9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6"/>
        </w:trPr>
        <w:tc>
          <w:tcPr>
            <w:tcW w:w="9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50"/>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03"/>
        </w:trPr>
        <w:tc>
          <w:tcPr>
            <w:tcW w:w="9980" w:type="dxa"/>
            <w:vAlign w:val="bottom"/>
            <w:tcBorders>
              <w:top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undiscounted lease payments</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3"/>
        </w:trPr>
        <w:tc>
          <w:tcPr>
            <w:tcW w:w="9980" w:type="dxa"/>
            <w:vAlign w:val="bottom"/>
            <w:tcBorders>
              <w:top w:val="single" w:sz="8" w:color="CCEEFF"/>
            </w:tcBorders>
          </w:tcPr>
          <w:p>
            <w:pPr>
              <w:ind w:left="140"/>
              <w:spacing w:after="0" w:line="203" w:lineRule="exact"/>
              <w:rPr>
                <w:sz w:val="20"/>
                <w:szCs w:val="20"/>
                <w:color w:val="auto"/>
              </w:rPr>
            </w:pPr>
            <w:r>
              <w:rPr>
                <w:rFonts w:ascii="Arial" w:cs="Arial" w:eastAsia="Arial" w:hAnsi="Arial"/>
                <w:sz w:val="18"/>
                <w:szCs w:val="18"/>
                <w:color w:val="auto"/>
              </w:rPr>
              <w:t>Total discounted lease payments</w:t>
            </w: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2,885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lease liability</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Noncurrent portion of lease liability</w:t>
            </w: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980" w:type="dxa"/>
            <w:vAlign w:val="bottom"/>
            <w:vMerge w:val="continue"/>
          </w:tcPr>
          <w:p>
            <w:pPr>
              <w:spacing w:after="0"/>
              <w:rPr>
                <w:sz w:val="20"/>
                <w:szCs w:val="20"/>
                <w:color w:val="auto"/>
              </w:rPr>
            </w:pPr>
          </w:p>
        </w:tc>
        <w:tc>
          <w:tcPr>
            <w:tcW w:w="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Stanford Sponsored Research Agreement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Effective September 2020, the Company entered into a sponsored research agreement with Stanford for a research program related to the treatment of Fanconi Anemia patients in Bone Marrow Failure requiring allogeneic transplant with non-sibling donors at Stanford Lucile Packard Children’s Hospital (the “Research Project”) using JSP191. Stanford will perform the Research Project and is fully responsible for costs and operations related to the Research Project. In addition, Stanford owns the entire right, title, and interest, in and to all technology developed using Stanford facilities and by Stanford personnel through the performance of the Research Project under this agreement (the “Fanconi Anemia Research Project IP”). Under this agreement, Stanford granted the Company an exclusive option to license exclusively Stanford’s rights in the Fanconi Anemia Research Project IP (the “Fanconi Anemia Option”) in the field of commercialization of JSP191. There is no license granted or other intellectual property transferred under this agreement until the Fanconi Anemia Option is exercised. As of December 31, 2021, the Company has not yet exercised the Fanconi Anemia Option.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ind w:right="180" w:firstLine="648"/>
        <w:spacing w:after="0" w:line="301" w:lineRule="auto"/>
        <w:rPr>
          <w:sz w:val="20"/>
          <w:szCs w:val="20"/>
          <w:color w:val="auto"/>
        </w:rPr>
      </w:pPr>
      <w:r>
        <w:rPr>
          <w:rFonts w:ascii="Arial" w:cs="Arial" w:eastAsia="Arial" w:hAnsi="Arial"/>
          <w:sz w:val="16"/>
          <w:szCs w:val="16"/>
          <w:color w:val="auto"/>
        </w:rPr>
        <w:t>As consideration for the services performed by Stanford under this sponsored research agreement, the Company will pay Stanford a total of $0.9 million over approximately 3 years upon the achievement of development and clinical milestones, including FDA filings and patients’ enrollment. As of December 31, 2020, the Company had accrued $0.3 million related to the achievement of the first milestone under this agreement, which was paid in February 2021. The second and the third milestones are based on the progress of the clinical trials and will be recognized when achieved.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 March 2021, the Company entered into the Stanford License Agreement (Note 7), pursuant to which the Company is required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The Company is also obligated to pay late-stage clinical development milestones and first commercial sales milestone payments of up to $9.0 million in total. The Company will also pay low single-digit royalties on net sales of licensed products. All products are in development as of December 31, 2021, and no such royalties were due as of such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right="540" w:firstLine="648"/>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2021 and 2020, and, to the best of its knowledge, no material legal proceedings are currently pending.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2021 and 2020, the Company does not have any material indemnification claims that were probable or reasonably possible and consequently has not recorded related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CONVERTIBLE PREFERRED STOCK</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On September 24, 2021, upon the closing of the Business Combination, all shares of the outstanding redeemable convertible preferred stock were cancelled and exchanged for 21,722,661 shares of the Company’s common stock, including 2,200,000 shares issued to Amgen and 1,296,022 shares of non-voting common stock issued to an investor.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Redeemable convertible preferred stock as of December 31, 2020 consisted of the following (in thousands,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Aggregate</w:t>
            </w: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Issued and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Liquidation</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Authorized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Preference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A-1 redeemable convertible preferred stock</w:t>
            </w:r>
          </w:p>
        </w:tc>
        <w:tc>
          <w:tcPr>
            <w:tcW w:w="1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19,522,671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15,480,095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Series A-2 redeemable convertible preferred stock</w:t>
            </w:r>
          </w:p>
        </w:tc>
        <w:tc>
          <w:tcPr>
            <w:tcW w:w="14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w:t>
            </w:r>
          </w:p>
        </w:tc>
        <w:tc>
          <w:tcPr>
            <w:tcW w:w="14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vMerge w:val="continue"/>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19,522,771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15,480,195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139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5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The significant rights and obligations of the redeemable convertible preferred stock were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holders of Series A-1 redeemable convertible preferred stock were entitled to receive, on a pari passu basis, when, as and if declared by the Board, out of any assets at the time that are legally available, cash dividends at the rate of 8% per annum of the applicable original issue price of $2.6592, as adjusted for stock splits, dividends, reclassifications or the like.</w:t>
      </w:r>
    </w:p>
    <w:p>
      <w:pPr>
        <w:spacing w:after="0" w:line="184"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holders of Series A-2 redeemable convertible preferred stock were entitled to receive dividends, on a pari passu basis, when, as and if declared by the Board, out of any assets at the time legally available therefor, in an amount of 8% of any distribution to Old Jasper stockholders. The dividend rate would have been reduced to 4% if the Company terminated the Amgen License Agreement, or Amgen was pursuing a clinical development of an anti c-kit antibody in any clinical indication for which the Company had filed or held an IND for an anti c-kit antibody.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preferred dividends were not cumulative. No dividends had been declared or paid as of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holders of each share of Series A-1 redeemable convertible preferred stock were entitled to voting rights equal to the number of shares of Class A common stock into which the shares of Series A-1 redeemable convertible preferred stock were then convertible. The holders of Series A-1 redeemable convertible preferred stock voted together with the holders of common stock as a single class and on an as-converted to common stock basis. The holders of Series A-2 redeemable convertible preferred stock were not entitled to any voting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The holders of Series A-1 redeemable convertible preferred stock, voting together as a separate class, were entitled to elect three directors of the Company. The holders of Class A common stock, other than the common stock issued or issuable upon the conversion of preferred stock, voting together as a separate class, were entitled to elect two directors of the Company. The holders of Class A common stock and Series A-1 redeemable convertible preferred stock were collectively entitled to elect the balance of the total number of directors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Each share of Series A-1 redeemable convertible preferred stock was convertible to Class A common stock, at the option of the holder, at the then applicable conversion price. Any holder that beneficially owned, directly or indirectly, more than 9.9% of any class of equity securities had the right to receive any shares of capital stock that would have been issued upon conversion of the shares in excess of 9.9% in the form of Class B common stock. The initial conversion price per share for Series A-1 redeemable convertible preferred stock was $2.6592. Shares of Series A-2 redeemable convertible preferred stock were not convertible at the option of the holder.</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share of Series A-1 redeemable convertible preferred stock would have been automatically converted into common stock, at the then effective conversion price (i) immediately prior to closing of the initial public offering at a common stock per share price of at least five times the original issue price of the Series A-1 redeemable convertible preferred stock resulting in at least $70.0 million of gross proceeds, or (ii) at the date and time, or upon occurrence of an event, specified by vote or written consent of the holders of at least 55% of the outstanding shares of Series A-1 redeemable convertible preferred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3" w:name="page144"/>
    <w:bookmarkEnd w:id="143"/>
    <w:p>
      <w:pPr>
        <w:ind w:firstLine="648"/>
        <w:spacing w:after="0" w:line="257" w:lineRule="auto"/>
        <w:rPr>
          <w:sz w:val="20"/>
          <w:szCs w:val="20"/>
          <w:color w:val="auto"/>
        </w:rPr>
      </w:pPr>
      <w:r>
        <w:rPr>
          <w:rFonts w:ascii="Arial" w:cs="Arial" w:eastAsia="Arial" w:hAnsi="Arial"/>
          <w:sz w:val="18"/>
          <w:szCs w:val="18"/>
          <w:color w:val="auto"/>
        </w:rPr>
        <w:t>Upon Old Jasper’s initial public offering, each share of Series A-2 redeemable convertible preferred would have been automatically converted into a number of shares of Class A common stock equal to 8% of the fully diluted equity immediately prior to such initial public offering. The percentage of Class A common stock subject to Series A-2 redeemable convertible preferred stock conversion would have been reduced to 4% if the Company terminated the Amgen License Agreement, or Amgen was pursuing a clinical development of an anti c-kit antibody in any clinical indication for which the Company had filed or held an IND for an anti c-kit antibody.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event of liquidation, dissolution or winding up of Old Jasper, including deemed liquidation, the holders of the Series A-1 redeemable convertible preferred stock were entitled to receive, in preference to any distribution to the holders of the Series A-2 redeemable convertible preferred stock or common stock, an amount per share equal to 0.75 times of the applicable original issue price of $2.6592, as adjusted for stock splits, dividends, reclassifications or the like.</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After the payment to the holders of Series A-1 redeemable convertible preferred stock of the full preferential amounts above, the holders of Series A-2 redeemable convertible preferred stock would have been entitled to receive, out of the remaining assets of Old Jasper available for distribution to its stockholders, in preference to any distribution to the holders of common stock, an amount equal to 8% of the assets available for distribution. The liquidation preference available to the holders of Series A-2 redeemable convertible preferred stock would have been reduced to 4% if the Company terminated the Amgen License Agreement, or Amgen was pursuing a clinical development of an anti c-kit antibody in any clinical indication for which the Company had filed or held an IND for an anti c-kit antibody.</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After the payment to the holders of Series A-2 redeemable convertible preferred stock of the full preferential amounts above, the holders of Series A-1 redeemable convertible preferred stock would have been entitled to receive, out of the remaining assets of Old Jasper available for distribution to its stockholders, in preference to any distribution to the holders of common stock, an amount per share equal to 0.25 times of the applicable original issue price of $2.6592, as adjusted for stock splits, dividends, reclassifications or the like.</w:t>
      </w:r>
    </w:p>
    <w:p>
      <w:pPr>
        <w:spacing w:after="0" w:line="187" w:lineRule="exact"/>
        <w:rPr>
          <w:sz w:val="20"/>
          <w:szCs w:val="20"/>
          <w:color w:val="auto"/>
        </w:rPr>
      </w:pPr>
    </w:p>
    <w:p>
      <w:pPr>
        <w:ind w:right="100" w:firstLine="693"/>
        <w:spacing w:after="0" w:line="259" w:lineRule="auto"/>
        <w:rPr>
          <w:sz w:val="20"/>
          <w:szCs w:val="20"/>
          <w:color w:val="auto"/>
        </w:rPr>
      </w:pPr>
      <w:r>
        <w:rPr>
          <w:rFonts w:ascii="Arial" w:cs="Arial" w:eastAsia="Arial" w:hAnsi="Arial"/>
          <w:sz w:val="18"/>
          <w:szCs w:val="18"/>
          <w:color w:val="auto"/>
        </w:rPr>
        <w:t>If the assets of Old Jasper legally available for distribution to the holders of a given Series of redeemable convertible preferred stock were insufficient to permit the payment to such holders of the full amounts of a given Series, then the assets of Old Jasper would have been distributed on a pro rata basis among the holders of such Series of redeemable convertible preferred stock in proportion to the full amounts they would otherwise be entitled to receive pursuant to their liquidation preference.</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Following the above payments, the remaining assets of Old Jasper, if any, would have been distributed ratably among the holders of common stock and Series A-1 redeemable convertible preferred stock, pro rata based on the number of shares held by each such holder as if they had been converted to common stock. Provided, however, that if the aggregate amount which the holders of Series A-1 redeemable convertible preferred stock were entitled to receive under the above provisions exceeded 1.5 times the applicable original issue price of $2.6592, as adjusted for stock splits, dividends, reclassifications or the like, upon such liquidation, dissolution or winding up the holders of Series A-1 redeemable convertible preferred stock would have been entitled to receive the greater of (i) 1.5 times the applicable original issue price and (ii) the amount would have received if all shares of Series A-1 redeemable convertible preferred stock had been converted into common stock immediately prior to such liquidation, dissolution or winding up of the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The redeemable convertible preferred stock was recorded in mezzanine equity because while it was not mandatorily redeemable, it would have become redeemable at the option of the preferred stockholders upon the occurrence of certain deemed liquidation events that were considered not solely within the Company’s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September 24, 2021, upon the closing of the Business Combination, the Company issued (1) 13,037,901 shares of voting common stock in exchange for AMHC’s outstanding shares of Class A common stock, (2) 23,482,387 shares of voting common stock and (3) 1,296,022 shares of non-voting common stock in exchange for outstanding shares of Old Jasper preferred stock and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4" w:name="page145"/>
    <w:bookmarkEnd w:id="144"/>
    <w:p>
      <w:pPr>
        <w:ind w:right="540" w:firstLine="648"/>
        <w:spacing w:after="0" w:line="263" w:lineRule="auto"/>
        <w:rPr>
          <w:sz w:val="20"/>
          <w:szCs w:val="20"/>
          <w:color w:val="auto"/>
        </w:rPr>
      </w:pPr>
      <w:r>
        <w:rPr>
          <w:rFonts w:ascii="Arial" w:cs="Arial" w:eastAsia="Arial" w:hAnsi="Arial"/>
          <w:sz w:val="18"/>
          <w:szCs w:val="18"/>
          <w:color w:val="auto"/>
        </w:rPr>
        <w:t>The Company is authorized to issue 490,000,000 shares of voting common stock, 2,000,000 shares of non-voting common stock, and 10,000,000 shares of undesignated preferred stock. There were 36,559,092 shares of voting common stock, 1,296,022 shares of non-voting common stock and no shares of preferred stock issued and outstanding as of December 31, 2021.</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Holders of the voting common stock and the non-voting common stock have similar rights, except that non-voting stockholders are not entitled to vote, including for the election of directors. Holders of voting common stock do not have conversion rights, while holders of non-voting common stock have the right to convert each share of non-voting common stock held by such holder into one share of voting common stock at such holder’s election by providing written notice to the Company, provided that as a result of such conversion, such holder, together with its affiliates, would not beneficially own in excess of 9.9% of the Company’s voting common stock following such conversion.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and 2020, the Company had common stock reserved for future issuance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56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15,480,195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Outstanding and issued common stock options</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2,660,383</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2,983,574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59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4,999,883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w w:val="90"/>
              </w:rPr>
              <w:t>Shares available for grant under 2019</w:t>
            </w:r>
          </w:p>
        </w:tc>
        <w:tc>
          <w:tcPr>
            <w:tcW w:w="594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430,893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Shares available for grant under 2021</w:t>
            </w:r>
          </w:p>
        </w:tc>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4,422,480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w w:val="90"/>
              </w:rPr>
              <w:t>Shares available for grant under 2021</w:t>
            </w:r>
          </w:p>
        </w:tc>
        <w:tc>
          <w:tcPr>
            <w:tcW w:w="594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shares of common stock reserved</w:t>
            </w: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12,632,746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18,894,662</w:t>
            </w:r>
          </w:p>
        </w:tc>
        <w:tc>
          <w:tcPr>
            <w:tcW w:w="0" w:type="dxa"/>
            <w:vAlign w:val="bottom"/>
          </w:tcPr>
          <w:p>
            <w:pPr>
              <w:spacing w:after="0"/>
              <w:rPr>
                <w:sz w:val="1"/>
                <w:szCs w:val="1"/>
                <w:color w:val="auto"/>
              </w:rPr>
            </w:pPr>
          </w:p>
        </w:tc>
      </w:tr>
      <w:tr>
        <w:trPr>
          <w:trHeight w:val="21"/>
        </w:trPr>
        <w:tc>
          <w:tcPr>
            <w:tcW w:w="27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Common Stock</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In March 2018, Old Jasper issued 2,259,024 shares of common stock with the fair value of $0.04 per share to its founders for services and intellectual property. As consideration for the shares, Old Jasper received $6,000 in cash and intellectual property with estimated fair value of $0.1 million, which was recognized as research and development expenses, as the technology did not have an alternative use. Issued shares vested 25% at the issuance date and over 36 months thereafter. Old Jasper had a right to repurchase unvested shares at the price paid by founders. At the closing of the Business Combination, shares of common stock subject to repurchase were converted into shares of common stock subject to restricted stock awards.</w:t>
      </w:r>
    </w:p>
    <w:p>
      <w:pPr>
        <w:spacing w:after="0" w:line="16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accounts for issued shares as stock-based compensation to founders as consultants and recognizes stock-based compensation expense over the vesting period. As of December 31, 2021, the Company recorded less than $0.1 million as restricted stock liability, related to 541,225 unvested shares of common stock. Stock-based compensation expense was $4,000 for each of the years ended December 31, 2021 and 2020. Unrecognized stock-based compensation expense of $8,000 as of December 31, 2021 is expected to be recognized over 1.9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September 23, 2021, the 2021 Equity Incentive Plan (“2021 Plan”) and the 2021 Employee Stock Purchase Plan (“2021 ESPP”) became effective upon the prior approval of Old Jasper’s board of directors and stockholders. As of December 31, 2021, 4,422,480 and 550,000 shares were reserved and available for grants under the 2021 Plan and 2021 ESPP, respectively. In addition, the 2021 Plan and 2021 ESPP provide for annual automatic increases in the number of shares reserved under each plan, beginning on January 1, 2022. The number of shares available for issuance under the 2021 Plan will increase annually in an amount equal to the least of (i) 2,750,000 shares, (ii) a number of shares equal to 4% of the total number of shares of all classes of common stock of the Company outstanding on the last day of the immediately preceding fiscal year, or (iii) such lesser number of shares determined by the Board no later than the last day of the immediately preceding fiscal year. The number of shares of common stock available for issuance under the 2021 ESPP will increase annually in an amount equal to the least of (i) 550,000 shares of common stock, (ii) a number of shares of common stock equal to 1% of the total number of shares of all classes of common stock of the Company on the last day of the immediately preceding fiscal year, or (iii) such number of shares determined by the Board.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5" w:name="page146"/>
    <w:bookmarkEnd w:id="145"/>
    <w:p>
      <w:pPr>
        <w:ind w:right="60" w:firstLine="648"/>
        <w:spacing w:after="0" w:line="301" w:lineRule="auto"/>
        <w:rPr>
          <w:sz w:val="20"/>
          <w:szCs w:val="20"/>
          <w:color w:val="auto"/>
        </w:rPr>
      </w:pPr>
      <w:r>
        <w:rPr>
          <w:rFonts w:ascii="Arial" w:cs="Arial" w:eastAsia="Arial" w:hAnsi="Arial"/>
          <w:sz w:val="16"/>
          <w:szCs w:val="16"/>
          <w:color w:val="auto"/>
        </w:rPr>
        <w:t>Under the 2021 Plan, the Company can grant ISOs, NSOs, RSAs, stock appreciation rights, restricted stock units, performance awards and other awards to employees, directors and consultants. Under the 2021 ESPP, the Company can grant purchase rights to employees to purchase shares of common stock at a purchase price which equal to 85% of the fair market value of common stock on the offering date or on the exercise date, whichever is lower. No awards have been granted under the 2021 Plan and no shares have been issued under the ESPP as of December 31, 2021.</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 further awards will be granted under the 2019 Equity Incentive Plan (“2019 Plan”), and options to purchase 2,660,383 shares of common stock that remain outstanding and unexercised will continue to be governed by the 2019 Plan. In addition, shares of the Company’s common stock subject to outstanding awards granted under the 2019 Plan that (a) are not issued because the award or any portion of the award expires or otherwise terminates without all of the shares covered by the award having been issued, (b) are withheld or reacquired to satisfy the exercise, strike or purchase price or (c) are withheld or reacquired to satisfy a tax withholding obligation will also be added to the number of shares of the Company’s common stock available for issuance pursuant to the 2021 Plan.</w:t>
      </w:r>
    </w:p>
    <w:p>
      <w:pPr>
        <w:spacing w:after="0" w:line="192"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Under the 2019 Plan and the 2021 Plan, options are granted at an exercise price of not less than 100% of the fair market value of the common stock on the date of grant. For individuals holding more than 10% of the voting rights of all classes of stock, the exercise price of an option will not be less than 110% of fair value. Options become exercisable and expire as specified in the award agreement, provided that the term of options may not</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exceed 10 years from the date of grant (5 years for the individuals holding more than 10% of the voting rights of all classes of stock). Stock option agreements may provide for accelerated exercisability in the event of an optionee’s death, disability, retirement or other events. Vesting conditions determined by the administrator of the applicable plan may apply to stock options and may include continued service, performance and/or other conditions. Generally, stock options vest over a four-year period. The Company did not grant any RSAs, stock appreciation rights or restricted stock unit awards during the years ended December 31, 2021 and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under the 2021 Plan and the 2019 Plan for the year ended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7"/>
          </w:tcPr>
          <w:p>
            <w:pPr>
              <w:ind w:left="520"/>
              <w:spacing w:after="0"/>
              <w:rPr>
                <w:sz w:val="20"/>
                <w:szCs w:val="20"/>
                <w:color w:val="auto"/>
              </w:rPr>
            </w:pPr>
            <w:r>
              <w:rPr>
                <w:rFonts w:ascii="Arial" w:cs="Arial" w:eastAsia="Arial" w:hAnsi="Arial"/>
                <w:sz w:val="18"/>
                <w:szCs w:val="18"/>
                <w:b w:val="1"/>
                <w:bCs w:val="1"/>
                <w:color w:val="auto"/>
              </w:rPr>
              <w:t>Option Outstanding</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122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Available</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6"/>
              </w:rPr>
              <w:t>for Grant</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c>
          <w:tcPr>
            <w:tcW w:w="160" w:type="dxa"/>
            <w:vAlign w:val="bottom"/>
          </w:tcPr>
          <w:p>
            <w:pPr>
              <w:spacing w:after="0"/>
              <w:rPr>
                <w:sz w:val="20"/>
                <w:szCs w:val="20"/>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2021</w:t>
            </w:r>
          </w:p>
        </w:tc>
        <w:tc>
          <w:tcPr>
            <w:tcW w:w="12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430,893</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2,983,574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0.71</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5,599,957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available for grant cancelled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(407,864)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authorized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4,400,000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(145,753)</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145,753</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Options cancelled/forfeited</w:t>
            </w:r>
          </w:p>
        </w:tc>
        <w:tc>
          <w:tcPr>
            <w:tcW w:w="1140" w:type="dxa"/>
            <w:vAlign w:val="bottom"/>
          </w:tcPr>
          <w:p>
            <w:pPr>
              <w:jc w:val="right"/>
              <w:spacing w:after="0"/>
              <w:rPr>
                <w:sz w:val="20"/>
                <w:szCs w:val="20"/>
                <w:color w:val="auto"/>
              </w:rPr>
            </w:pPr>
            <w:r>
              <w:rPr>
                <w:rFonts w:ascii="Arial" w:cs="Arial" w:eastAsia="Arial" w:hAnsi="Arial"/>
                <w:sz w:val="18"/>
                <w:szCs w:val="18"/>
                <w:color w:val="auto"/>
              </w:rPr>
              <w:t>145,204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(145,204)</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4,422,480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2,660,383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18,731,908</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Vested and expected to vest, December 31, 2021</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Arial" w:cs="Arial" w:eastAsia="Arial" w:hAnsi="Arial"/>
                <w:sz w:val="18"/>
                <w:szCs w:val="18"/>
                <w:color w:val="auto"/>
                <w:w w:val="79"/>
              </w:rPr>
              <w:t>8.54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18,731,908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Exercisable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1,568,645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13,642,291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 The total intrinsic value of the options exercised during the years ended December 31, 2021 and 2020 was $2.1 million and $0.1 million, respectively.</w:t>
      </w:r>
    </w:p>
    <w:p>
      <w:pPr>
        <w:spacing w:after="0" w:line="18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total fair value of options that vested during the years ended December 31, 2021 and 2020 was $1.4 million and $0.8 million, respectively. The weighted-average grant date fair value of options granted during the years ended December 31, 2021 and 2020 was $2.66 and $0.32 per share, respectively.</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Future stock-based compensation for unvested options as of December 31, 2021 was $1.5 million, which is expected to be recognized over a weighted-average period of 2.6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presents stock-based compensation expenses related to options granted to employee and non-employees, and restricted common stock shares issued to founders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grant date fair value of employee stock options was estimated using a Black-Scholes option-pricing model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89"/>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7"/>
        </w:trPr>
        <w:tc>
          <w:tcPr>
            <w:tcW w:w="77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6.08</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tcPr>
          <w:p>
            <w:pPr>
              <w:jc w:val="right"/>
              <w:spacing w:after="0"/>
              <w:rPr>
                <w:sz w:val="20"/>
                <w:szCs w:val="20"/>
                <w:color w:val="auto"/>
              </w:rPr>
            </w:pPr>
            <w:r>
              <w:rPr>
                <w:rFonts w:ascii="Arial" w:cs="Arial" w:eastAsia="Arial" w:hAnsi="Arial"/>
                <w:sz w:val="18"/>
                <w:szCs w:val="18"/>
                <w:color w:val="auto"/>
              </w:rPr>
              <w:t>75.27%</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 75.79%</w:t>
            </w:r>
          </w:p>
        </w:tc>
        <w:tc>
          <w:tcPr>
            <w:tcW w:w="740" w:type="dxa"/>
            <w:vAlign w:val="bottom"/>
          </w:tcPr>
          <w:p>
            <w:pPr>
              <w:jc w:val="right"/>
              <w:spacing w:after="0"/>
              <w:rPr>
                <w:sz w:val="20"/>
                <w:szCs w:val="20"/>
                <w:color w:val="auto"/>
              </w:rPr>
            </w:pPr>
            <w:r>
              <w:rPr>
                <w:rFonts w:ascii="Arial" w:cs="Arial" w:eastAsia="Arial" w:hAnsi="Arial"/>
                <w:sz w:val="18"/>
                <w:szCs w:val="18"/>
                <w:color w:val="auto"/>
              </w:rPr>
              <w:t>74.27%</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20"/>
              <w:spacing w:after="0"/>
              <w:rPr>
                <w:sz w:val="20"/>
                <w:szCs w:val="20"/>
                <w:color w:val="auto"/>
              </w:rPr>
            </w:pPr>
            <w:r>
              <w:rPr>
                <w:rFonts w:ascii="Arial" w:cs="Arial" w:eastAsia="Arial" w:hAnsi="Arial"/>
                <w:sz w:val="18"/>
                <w:szCs w:val="18"/>
                <w:color w:val="auto"/>
                <w:w w:val="88"/>
              </w:rPr>
              <w:t>75.61%</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0.80%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left="61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determination of the fair value of stock options on the date of grant using a Black-Scholes option-pricing model is affected by the estimated fair value of the Company’s common stock, as well as assumptions regarding a number of variables that are complex, subjective and generally require significant judgment to determine. The valuation assumptions were determined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Prior to the Business Combination, the grant date fair value of Old Jasper’s common stock was determined by its board of directors with the assistance of management and an independent third-party valuation specialist. The grant date fair value of Old Jasper’s common stock was determined using valuation methodologies that utilize certain assumptions including probability weighting of events, volatility, time to liquidation, a risk-free interest rate and an assumption for a discount for lack of marketability (Level 3 inputs). In determining the fair value of Old Jasper’s common stock, the methodologies used to estimate the enterprise value of Old Jasper were performed using methodologies, approaches, and assumptions consistent with the American Institute of Certified Public Accountants Accounting and Valuation Guide, Valuation of Privately-Held-Company Equity Securities Issued as Compensation.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the Business Combination, the Company uses its closing market price as of the grant date to estimate an option’s grant date fair value.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expected term represents the period that the options granted are expected to be outstanding and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Expected Volatility</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derived the expected volatility from the average historical volatilities over a period approximately equal to the expected term of comparable publicly traded companies within its peer group that were deemed to be representative of future stock price trends as the Company does not have any trading history for its common stock. The Company will continue to apply this process until a sufficient amount of historical information regarding the volatility of its own stock price becomes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risk-free interest rate is based on the U.S. Treasury rate, with maturities similar to the expected term of the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Yield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does not anticipate paying any dividends in the foreseeable future and, therefore, uses an expected dividend yield of zero.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80"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31750</wp:posOffset>
            </wp:positionV>
            <wp:extent cx="156019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common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common shares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Less: Weighted-average unvested restricted shares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409"/>
        </w:trPr>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(30,637</w:t>
            </w: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(31,669</w:t>
            </w:r>
            <w:r>
              <w:rPr>
                <w:rFonts w:ascii="Arial" w:cs="Arial" w:eastAsia="Arial" w:hAnsi="Arial"/>
                <w:sz w:val="35"/>
                <w:szCs w:val="35"/>
                <w:color w:val="auto"/>
                <w:vertAlign w:val="superscript"/>
              </w:rPr>
              <w:t>)</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tabs>
          <w:tab w:leader="none" w:pos="1720" w:val="left"/>
        </w:tabs>
        <w:rPr>
          <w:sz w:val="20"/>
          <w:szCs w:val="20"/>
          <w:color w:val="auto"/>
        </w:rPr>
      </w:pPr>
      <w:r>
        <w:rPr>
          <w:rFonts w:ascii="Arial" w:cs="Arial" w:eastAsia="Arial" w:hAnsi="Arial"/>
          <w:sz w:val="17"/>
          <w:szCs w:val="17"/>
          <w:color w:val="auto"/>
        </w:rPr>
        <w:t>12,363,677</w:t>
      </w:r>
      <w:r>
        <w:rPr>
          <w:sz w:val="20"/>
          <w:szCs w:val="20"/>
          <w:color w:val="auto"/>
        </w:rPr>
        <w:tab/>
      </w:r>
      <w:r>
        <w:rPr>
          <w:rFonts w:ascii="Arial" w:cs="Arial" w:eastAsia="Arial" w:hAnsi="Arial"/>
          <w:sz w:val="17"/>
          <w:szCs w:val="17"/>
          <w:color w:val="auto"/>
        </w:rPr>
        <w:t>2,697,181</w:t>
      </w:r>
    </w:p>
    <w:p>
      <w:pPr>
        <w:spacing w:after="0" w:line="35" w:lineRule="exact"/>
        <w:rPr>
          <w:sz w:val="20"/>
          <w:szCs w:val="20"/>
          <w:color w:val="auto"/>
        </w:rPr>
      </w:pPr>
    </w:p>
    <w:p>
      <w:pPr>
        <w:jc w:val="both"/>
        <w:ind w:left="480"/>
        <w:spacing w:after="0"/>
        <w:tabs>
          <w:tab w:leader="none" w:pos="1780" w:val="left"/>
        </w:tabs>
        <w:rPr>
          <w:sz w:val="20"/>
          <w:szCs w:val="20"/>
          <w:color w:val="auto"/>
        </w:rPr>
      </w:pPr>
      <w:r>
        <w:rPr>
          <w:rFonts w:ascii="Arial" w:cs="Arial" w:eastAsia="Arial" w:hAnsi="Arial"/>
          <w:sz w:val="18"/>
          <w:szCs w:val="18"/>
          <w:color w:val="auto"/>
        </w:rPr>
        <w:t>(685,129)</w:t>
      </w:r>
      <w:r>
        <w:rPr>
          <w:sz w:val="20"/>
          <w:szCs w:val="20"/>
          <w:color w:val="auto"/>
        </w:rPr>
        <w:tab/>
      </w:r>
      <w:r>
        <w:rPr>
          <w:rFonts w:ascii="Arial" w:cs="Arial" w:eastAsia="Arial" w:hAnsi="Arial"/>
          <w:sz w:val="18"/>
          <w:szCs w:val="18"/>
          <w:color w:val="auto"/>
        </w:rPr>
        <w:t>(967,363)</w:t>
      </w:r>
    </w:p>
    <w:p>
      <w:pPr>
        <w:spacing w:after="0" w:line="27" w:lineRule="exact"/>
        <w:rPr>
          <w:sz w:val="20"/>
          <w:szCs w:val="20"/>
          <w:color w:val="auto"/>
        </w:rPr>
      </w:pPr>
    </w:p>
    <w:p>
      <w:pPr>
        <w:sectPr>
          <w:pgSz w:w="11900" w:h="16838" w:orient="portrait"/>
          <w:cols w:equalWidth="0" w:num="2">
            <w:col w:w="7960" w:space="720"/>
            <w:col w:w="25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Weighted-average shares subject to earnout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(284,795)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11,393,753</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1,729,818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140"/>
              <w:spacing w:after="0" w:line="256" w:lineRule="exact"/>
              <w:rPr>
                <w:sz w:val="20"/>
                <w:szCs w:val="20"/>
                <w:color w:val="auto"/>
              </w:rPr>
            </w:pPr>
            <w:r>
              <w:rPr>
                <w:rFonts w:ascii="Arial" w:cs="Arial" w:eastAsia="Arial" w:hAnsi="Arial"/>
                <w:sz w:val="16"/>
                <w:szCs w:val="16"/>
                <w:color w:val="auto"/>
              </w:rPr>
              <w:t>(2.69</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98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(18.31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As a result of the Business Combination, the Company has retroactively adjusted the weighted-average number of shares of common stock outstanding prior to the Closing Date by multiplying them by the exchange ratio of 0.2823780 used to determine the number of shares of the Company’s common stock into which they were exchanged. The common stock issued as a result of the redeemable convertible preferred stock conversion on the Closing Date was included in the basic net loss per share calculation on a prospective basis. Earnout Shares were not included in the net loss per share as the triggering events are contingent upon the Company’s common stock price exceeding specific thresholds, which were not met as of December 31, 2021.</w:t>
      </w:r>
    </w:p>
    <w:p>
      <w:pPr>
        <w:spacing w:after="0" w:line="16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560" w:type="dxa"/>
            <w:vAlign w:val="bottom"/>
            <w:gridSpan w:val="4"/>
          </w:tcPr>
          <w:p>
            <w:pPr>
              <w:ind w:left="7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tcPr>
          <w:p>
            <w:pPr>
              <w:spacing w:after="0"/>
              <w:rPr>
                <w:sz w:val="20"/>
                <w:szCs w:val="20"/>
                <w:color w:val="auto"/>
              </w:rPr>
            </w:pPr>
          </w:p>
        </w:tc>
        <w:tc>
          <w:tcPr>
            <w:tcW w:w="426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4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4,999,883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Outstanding and issued common stock options</w:t>
            </w:r>
          </w:p>
        </w:tc>
        <w:tc>
          <w:tcPr>
            <w:tcW w:w="5600" w:type="dxa"/>
            <w:vAlign w:val="bottom"/>
            <w:gridSpan w:val="3"/>
          </w:tcPr>
          <w:p>
            <w:pPr>
              <w:jc w:val="right"/>
              <w:ind w:right="220"/>
              <w:spacing w:after="0"/>
              <w:rPr>
                <w:sz w:val="20"/>
                <w:szCs w:val="20"/>
                <w:color w:val="auto"/>
              </w:rPr>
            </w:pPr>
            <w:r>
              <w:rPr>
                <w:rFonts w:ascii="Arial" w:cs="Arial" w:eastAsia="Arial" w:hAnsi="Arial"/>
                <w:sz w:val="18"/>
                <w:szCs w:val="18"/>
                <w:color w:val="auto"/>
              </w:rPr>
              <w:t>2,660,383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2,983,574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5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541,225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823,603</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2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15,480,195</w:t>
            </w:r>
          </w:p>
        </w:tc>
        <w:tc>
          <w:tcPr>
            <w:tcW w:w="0" w:type="dxa"/>
            <w:vAlign w:val="bottom"/>
          </w:tcPr>
          <w:p>
            <w:pPr>
              <w:spacing w:after="0"/>
              <w:rPr>
                <w:sz w:val="1"/>
                <w:szCs w:val="1"/>
                <w:color w:val="auto"/>
              </w:rPr>
            </w:pPr>
          </w:p>
        </w:tc>
      </w:tr>
      <w:tr>
        <w:trPr>
          <w:trHeight w:val="27"/>
        </w:trPr>
        <w:tc>
          <w:tcPr>
            <w:tcW w:w="44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vMerge w:val="continue"/>
            <w:shd w:val="clear" w:color="auto" w:fill="CCEEFF"/>
          </w:tcPr>
          <w:p>
            <w:pPr>
              <w:spacing w:after="0"/>
              <w:rPr>
                <w:sz w:val="21"/>
                <w:szCs w:val="21"/>
                <w:color w:val="auto"/>
              </w:rPr>
            </w:pPr>
          </w:p>
        </w:tc>
        <w:tc>
          <w:tcPr>
            <w:tcW w:w="4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8,201,491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19,287,372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830"/>
              <w:spacing w:after="0"/>
              <w:rPr>
                <w:sz w:val="20"/>
                <w:szCs w:val="20"/>
                <w:color w:val="auto"/>
              </w:rPr>
            </w:pPr>
            <w:r>
              <w:rPr>
                <w:rFonts w:ascii="Arial" w:cs="Arial" w:eastAsia="Arial" w:hAnsi="Arial"/>
                <w:sz w:val="18"/>
                <w:szCs w:val="18"/>
                <w:color w:val="auto"/>
              </w:rPr>
              <w:t>145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4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years ended December 31, 2021 and 2020, the Company did not incur any tax expense or benefit as the Company operated with taxable losses and provided a full valuation allowance.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provision for income taxes differs from the amount computed by applying the federal statutory income tax rate to loss before taxes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at statutory rate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taxes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(1,729)</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earnout liability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10,095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components of the Company’s net deferred tax assets (liabilities) as of December 31, 2021 and 2020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14,683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1,410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gain/loss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18,005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7,986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1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net deferred tax assets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rPr>
          <w:sz w:val="20"/>
          <w:szCs w:val="20"/>
          <w:color w:val="auto"/>
        </w:rPr>
      </w:pPr>
      <w:r>
        <w:rPr>
          <w:rFonts w:ascii="Arial" w:cs="Arial" w:eastAsia="Arial" w:hAnsi="Arial"/>
          <w:sz w:val="18"/>
          <w:szCs w:val="18"/>
          <w:b w:val="1"/>
          <w:bCs w:val="1"/>
          <w:color w:val="auto"/>
        </w:rPr>
        <w:t>Deferred tax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Fixed assets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Total deferred tax liabilities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120" w:hanging="1321"/>
        <w:spacing w:after="0"/>
        <w:tabs>
          <w:tab w:leader="none" w:pos="21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(399)</w:t>
      </w:r>
    </w:p>
    <w:p>
      <w:pPr>
        <w:spacing w:after="0" w:line="34" w:lineRule="exact"/>
        <w:rPr>
          <w:rFonts w:ascii="Arial" w:cs="Arial" w:eastAsia="Arial" w:hAnsi="Arial"/>
          <w:sz w:val="17"/>
          <w:szCs w:val="17"/>
          <w:color w:val="auto"/>
        </w:rPr>
      </w:pPr>
    </w:p>
    <w:p>
      <w:pPr>
        <w:ind w:left="2280" w:hanging="1391"/>
        <w:spacing w:after="0"/>
        <w:tabs>
          <w:tab w:leader="none" w:pos="2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-267970</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14605</wp:posOffset>
            </wp:positionV>
            <wp:extent cx="713232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jc w:val="right"/>
        <w:ind w:right="40"/>
        <w:spacing w:after="0"/>
        <w:tabs>
          <w:tab w:leader="none" w:pos="3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7"/>
          <w:szCs w:val="17"/>
          <w:color w:val="auto"/>
        </w:rPr>
        <w:t>(399)</w:t>
      </w:r>
    </w:p>
    <w:p>
      <w:pPr>
        <w:spacing w:after="0" w:line="72" w:lineRule="exact"/>
        <w:rPr>
          <w:sz w:val="20"/>
          <w:szCs w:val="20"/>
          <w:color w:val="auto"/>
        </w:rPr>
      </w:pPr>
    </w:p>
    <w:p>
      <w:pPr>
        <w:spacing w:after="0"/>
        <w:tabs>
          <w:tab w:leader="none" w:pos="920" w:val="left"/>
          <w:tab w:leader="none" w:pos="13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560195" cy="431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553" w:right="339" w:bottom="1440" w:gutter="0" w:footer="0" w:header="0"/>
          <w:type w:val="continuous"/>
        </w:sectPr>
      </w:pPr>
    </w:p>
    <w:p>
      <w:pPr>
        <w:spacing w:after="0" w:line="9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 valuation allowance is provided when it is more likely than not that some portion of the deferred tax assets will not be realized. The Company believes that, based on a number of factors such as the history of operating losses, it is more likely than not that the deferred tax assets will not be fully realized, such that a full valuation allowance has been recorded. The valuation allowance increased by $10.1 million and $6.2 million for the years ended December 31, 2021 and 2020,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Company’s federal and state net operating loss carryforwards as of December 31, 2021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gridSpan w:val="3"/>
          </w:tcPr>
          <w:p>
            <w:pPr>
              <w:ind w:left="300"/>
              <w:spacing w:after="0"/>
              <w:rPr>
                <w:sz w:val="20"/>
                <w:szCs w:val="20"/>
                <w:color w:val="auto"/>
              </w:rPr>
            </w:pPr>
            <w:r>
              <w:rPr>
                <w:rFonts w:ascii="Arial" w:cs="Arial" w:eastAsia="Arial" w:hAnsi="Arial"/>
                <w:sz w:val="18"/>
                <w:szCs w:val="18"/>
                <w:b w:val="1"/>
                <w:bCs w:val="1"/>
                <w:color w:val="auto"/>
              </w:rPr>
              <w:t>Amount</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Years</w:t>
            </w:r>
          </w:p>
        </w:tc>
      </w:tr>
      <w:tr>
        <w:trPr>
          <w:trHeight w:val="216"/>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losses, Federal</w:t>
            </w:r>
          </w:p>
        </w:tc>
        <w:tc>
          <w:tcPr>
            <w:tcW w:w="9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53,071</w:t>
            </w:r>
          </w:p>
        </w:tc>
        <w:tc>
          <w:tcPr>
            <w:tcW w:w="12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Do not expire</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Net operating losses, states primarily California</w:t>
            </w:r>
          </w:p>
        </w:tc>
        <w:tc>
          <w:tcPr>
            <w:tcW w:w="14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45,442</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2038-2041</w:t>
            </w:r>
          </w:p>
        </w:tc>
      </w:tr>
      <w:tr>
        <w:trPr>
          <w:trHeight w:val="425"/>
        </w:trPr>
        <w:tc>
          <w:tcPr>
            <w:tcW w:w="4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146</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type w:val="continuous"/>
        </w:sectPr>
      </w:pPr>
    </w:p>
    <w:bookmarkStart w:id="149" w:name="page150"/>
    <w:bookmarkEnd w:id="149"/>
    <w:p>
      <w:pPr>
        <w:ind w:right="500" w:firstLine="648"/>
        <w:spacing w:after="0" w:line="263" w:lineRule="auto"/>
        <w:rPr>
          <w:sz w:val="20"/>
          <w:szCs w:val="20"/>
          <w:color w:val="auto"/>
        </w:rPr>
      </w:pPr>
      <w:r>
        <w:rPr>
          <w:rFonts w:ascii="Arial" w:cs="Arial" w:eastAsia="Arial" w:hAnsi="Arial"/>
          <w:sz w:val="18"/>
          <w:szCs w:val="18"/>
          <w:color w:val="auto"/>
        </w:rPr>
        <w:t>As of December 31, 2021, the Company had research and development credit carryforwards of approximately $1.3 million and $1.0 million available to reduce future taxable income, if any, for both federal and California state income tax purposes, respectively. The federal research and development credit carryforwards begin expiring in 2040, and California credits carryforward indefinitely.</w:t>
      </w:r>
    </w:p>
    <w:p>
      <w:pPr>
        <w:spacing w:after="0" w:line="18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Utilization of the net operating loss carryforwards and research credit carryforwards may be subject to an annual limitation due to the ownership percentage change limitations provided by the Internal Revenue Code, as amended (“IRC”), and similar state provisions. Annual limitations may result in the expiration of the net operating losses and tax credit carryforwards before they are utilized. As of December 31, 2021, the Company has completed an IRC Section 382 analysis from inception through the year ended December 31, 2021. Old Jasper experienced an ownership change on November 21, 2019 related to Series A redeemable convertible preferred stock financing. Any net operating loss generated in excess of the $2.9 million will be permanently limited for California tax purposes. The Company reduced its California net operating loss deferred tax assets balance by the permanently limited amount of $0.6 million. Net federal operating losses are not limited as they can be carried forward indefinitely. We experienced an additional ownership change on September 24, 2021. However, we do not expect there are additional tax attributes that will expire unused before the expiration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 reconciliation of the beginning and ending balances of the unrecognized tax benefits during the periods ended December 31, 2021 and 2020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6"/>
          </w:tcPr>
          <w:p>
            <w:pPr>
              <w:ind w:left="22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Additions based on tax positions related to current year</w:t>
            </w:r>
          </w:p>
        </w:tc>
        <w:tc>
          <w:tcPr>
            <w:tcW w:w="80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828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the Company did not accrue any penalties or interest during tax years 2021 and 2020. The Company does not expect its unrecognized tax benefit to change materially over the next twelve months.</w:t>
      </w:r>
    </w:p>
    <w:p>
      <w:pPr>
        <w:spacing w:after="0" w:line="184"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The Company is subject to examination by the United States federal and state tax authorities for the tax years 2018 and later State income tax returns are generally subject to examination for a period of four years after filing of the respective return.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8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enacted and signed into law, and U.S. GAAP requires recognition of the tax effects of new legislation during the reporting period that includes the enactment date. The CARES Act includes changes to the tax provisions that benefits business entities and makes certain technical corrections to the Tax Cuts and Jobs Act of 2017. The tax relief measures for businesses include a five-year net operating loss carryback, suspension of annual deduction limitation of 80% of taxable income from net operating losses generated in a tax year beginning after December 31, 2017 through December 31, 2020, changes the deductibility of interest, acceleration of alternative minimum tax credit refunds, payroll tax relief, and a technical correction to allow accelerated deductions for qualified improvement property.</w:t>
      </w:r>
    </w:p>
    <w:p>
      <w:pPr>
        <w:spacing w:after="0" w:line="16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CARES Act also provides other non-tax benefits to assist those impacted by the pandemic. The Company evaluated the impact of the CARES Act and determined that its adoption did not have a material impact to the income tax provision for the years ended December 31, 2021 and 2020.</w:t>
      </w:r>
    </w:p>
    <w:p>
      <w:pPr>
        <w:spacing w:after="0" w:line="12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On December 21, 2020, the President of the United States signed into law the “Consolidated Appropriations Act, 2021”, which includes further COVID-19 economic relief and extension of certain expiring tax provisions. The relief package includes a tax provision clarifying that businesses with forgiven Paycheck Protection Program loans can deduct regular business expenses that are paid for with the loan proceeds. Additional pandemic relief tax measures include an expansion of the employee retention credit, enhanced charitable contribution deductions and a temporary full deduction for business expenses for food and beverages provided by a restaurant. These benefits do not have a material impact on the Company’s current tax provision.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NOTE 15. 401(K) SAVINGS PLAN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has a retirement and savings plan under Section 401(k) of the IRC (the “401(k) Plan”), covering all U.S. employees. The 401(k) Plan allows employees to make pre-tax contributions up to the maximum allowable amount set by the Internal Revenue Service. The Company may make contributions to the 401(k) Plan at its discretion. No contributions were made to the 401(k) Plan by the Company for the years ended December 31,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PARTIES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Old Jasper entered into consulting agreements with two founders, who also received founders’ common stock shares for services and assigned patents. The founders transferred to Old Jasper $74,000 in intellectual property rights and $6,000 in cash as a consideration for common stock. The Company recorded $0.5 million and $0.3 million for the founders’ advisory and consulting services performed for the years ended December 31, 2021 and 2020, respectively. These expenses were recorded as research and development expenses in the consolidated statements of operations and comprehensive loss. Also, the Company’s Licensed Technology from Stanford (see Note 7) was created in the Stanford laboratory of one of the founders.</w:t>
      </w:r>
    </w:p>
    <w:p>
      <w:pPr>
        <w:spacing w:after="0" w:line="16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In December 2020, the Company entered into a material transfer agreement with Zai Lab Limited where both companies will collaborate on a research project and share total expenses of up to $0.3 million equally. The Company recorded $36,000 as a reduction to research and development expenses for expenses reimbursed by Zai Lab Limited for the year ended December 31, 2021. No expenses were incurred or reimbursed under this agreement for the year ended December 31, 2020. The Company’s chairman is a board member of Zai Lab Limited.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operating lease</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January 2022, the Company amended its operating lease in Redwood City, California to add an additional 5,611 rentable square feet. The total additional lease payments for the extra space from the commencement date are estimated at $1.8 million. The Company’s operating lease will expire in August 2026.</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17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as of the end of the period covered by this Annual Report on Form 10-K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Our management conducted an evaluation of the effectiveness of our internal control over financial reporting as of December 31, 2021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Based on the results of its evaluation, management concluded that our internal control over financial reporting was effective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pacing w:after="0" w:line="22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2" w:name="page153"/>
    <w:bookmarkEnd w:id="152"/>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required by this item will be contained in our definitive proxy statement on Schedule 14A to be filed with the Securities and Exchange Commission in connection with our 2022 annual meeting of stockholders (the “2022 Proxy Statement”), which we expect to file not later than 120 days after the end of the fiscal year covered by this Annual Report on Form 10-K, and is incorporated in this report by reference. To the extent that we do not file the 2022 Proxy Statement by such date, we will file an amendment to this Annual Report on Form 10-K that includes the information required by this Item 10.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information required by this item is incorporated by reference from the information contained in the 2022 Proxy Statement, which we expect to file not later than 120 days after the end of the fiscal year covered by this Annual Report on Form 10-K. To the extent that we do not file the 2022 Proxy Statement by such date, we will file an amendment to this Annual Report on Form 10-K that includes the information required by this Item 11.</w:t>
      </w:r>
    </w:p>
    <w:p>
      <w:pPr>
        <w:spacing w:after="0" w:line="14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information required by this item is incorporated by reference from the information contained in the 2022 Proxy Statement, which we expect to file not later than 120 days after the end of the fiscal year covered by this Annual Report on Form 10-K. To the extent that we do not file the 2022 Proxy Statement by such date, we will file an amendment to this Annual Report on Form 10-K that includes the information required by this Item 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w:t>
      </w:r>
    </w:p>
    <w:p>
      <w:pPr>
        <w:spacing w:after="0" w:line="229" w:lineRule="exact"/>
        <w:rPr>
          <w:sz w:val="20"/>
          <w:szCs w:val="20"/>
          <w:color w:val="auto"/>
        </w:rPr>
      </w:pPr>
    </w:p>
    <w:p>
      <w:pPr>
        <w:ind w:right="40" w:firstLine="459"/>
        <w:spacing w:after="0" w:line="311" w:lineRule="auto"/>
        <w:rPr>
          <w:sz w:val="20"/>
          <w:szCs w:val="20"/>
          <w:color w:val="auto"/>
        </w:rPr>
      </w:pPr>
      <w:r>
        <w:rPr>
          <w:rFonts w:ascii="Arial" w:cs="Arial" w:eastAsia="Arial" w:hAnsi="Arial"/>
          <w:sz w:val="16"/>
          <w:szCs w:val="16"/>
          <w:color w:val="auto"/>
        </w:rPr>
        <w:t>The information required by this item is incorporated by reference from the information contained in the 2022 Proxy Statement, which we expect to file not later than 120 days after the end of the fiscal year covered by this Annual Report on Form 10-K. To the extent that we do not file the 2022 Proxy Statement by such date, we will file an amendment to this Annual Report on Form 10-K that includes the information required by this Item 13.</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53" w:name="page154"/>
    <w:bookmarkEnd w:id="153"/>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information required by this item is incorporated by reference from the information contained in the 2022 Proxy Statement, which we expect to file not later than 120 days after the end of the fiscal year covered by this Annual Report on Form 10-K. To the extent that we do not file the 2022 Proxy Statement by such date, we will file an amendment to this Annual Report on Form 10-K that includes the information required by this Item 14.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(a)(1) Financial Statements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Financial Statements are listed in the “Index to the Financial Statements” of Jasper Therapeutics, Inc. in Part II, Item 8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required, not applicable, or the required information is included in the consolidated financial statements or notes thereto included in Part II, Item 8 of this Annual Report on Form 10-K.</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6260" w:type="dxa"/>
            <w:vAlign w:val="bottom"/>
            <w:gridSpan w:val="39"/>
          </w:tcPr>
          <w:p>
            <w:pPr>
              <w:spacing w:after="0"/>
              <w:rPr>
                <w:sz w:val="20"/>
                <w:szCs w:val="20"/>
                <w:color w:val="auto"/>
              </w:rPr>
            </w:pPr>
            <w:r>
              <w:rPr>
                <w:rFonts w:ascii="Arial" w:cs="Arial" w:eastAsia="Arial" w:hAnsi="Arial"/>
                <w:sz w:val="18"/>
                <w:szCs w:val="18"/>
                <w:b w:val="1"/>
                <w:bCs w:val="1"/>
                <w:i w:val="1"/>
                <w:iCs w:val="1"/>
                <w:color w:val="auto"/>
              </w:rPr>
              <w:t>(a)(3) Exhibits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600" w:type="dxa"/>
            <w:vAlign w:val="bottom"/>
            <w:gridSpan w:val="38"/>
          </w:tcPr>
          <w:p>
            <w:pPr>
              <w:spacing w:after="0"/>
              <w:rPr>
                <w:sz w:val="20"/>
                <w:szCs w:val="20"/>
                <w:color w:val="auto"/>
              </w:rPr>
            </w:pPr>
            <w:r>
              <w:rPr>
                <w:rFonts w:ascii="Arial" w:cs="Arial" w:eastAsia="Arial" w:hAnsi="Arial"/>
                <w:sz w:val="18"/>
                <w:szCs w:val="18"/>
                <w:color w:val="auto"/>
                <w:w w:val="92"/>
              </w:rPr>
              <w:t>The following exhibits are filed herewith or incorporated herein by reference: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rPr>
              <w:t>Incorporated by Reference</w:t>
            </w:r>
          </w:p>
        </w:tc>
        <w:tc>
          <w:tcPr>
            <w:tcW w:w="900" w:type="dxa"/>
            <w:vAlign w:val="bottom"/>
            <w:tcBorders>
              <w:bottom w:val="single" w:sz="8" w:color="auto"/>
            </w:tcBorders>
          </w:tcPr>
          <w:p>
            <w:pPr>
              <w:spacing w:after="0"/>
              <w:rPr>
                <w:sz w:val="24"/>
                <w:szCs w:val="24"/>
                <w:color w:val="auto"/>
              </w:rPr>
            </w:pPr>
          </w:p>
        </w:tc>
      </w:tr>
      <w:tr>
        <w:trPr>
          <w:trHeight w:val="198"/>
        </w:trPr>
        <w:tc>
          <w:tcPr>
            <w:tcW w:w="660" w:type="dxa"/>
            <w:vAlign w:val="bottom"/>
          </w:tcPr>
          <w:p>
            <w:pPr>
              <w:spacing w:after="0" w:line="198" w:lineRule="exact"/>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ind w:left="640"/>
              <w:spacing w:after="0" w:line="198" w:lineRule="exact"/>
              <w:rPr>
                <w:sz w:val="20"/>
                <w:szCs w:val="20"/>
                <w:color w:val="auto"/>
              </w:rPr>
            </w:pPr>
            <w:r>
              <w:rPr>
                <w:rFonts w:ascii="Arial" w:cs="Arial" w:eastAsia="Arial" w:hAnsi="Arial"/>
                <w:sz w:val="18"/>
                <w:szCs w:val="18"/>
                <w:b w:val="1"/>
                <w:bCs w:val="1"/>
                <w:color w:val="auto"/>
              </w:rPr>
              <w:t>File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1"/>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gridSpan w:val="33"/>
          </w:tcPr>
          <w:p>
            <w:pPr>
              <w:ind w:left="180"/>
              <w:spacing w:after="0"/>
              <w:rPr>
                <w:sz w:val="20"/>
                <w:szCs w:val="20"/>
                <w:color w:val="auto"/>
              </w:rPr>
            </w:pPr>
            <w:r>
              <w:rPr>
                <w:rFonts w:ascii="Arial" w:cs="Arial" w:eastAsia="Arial" w:hAnsi="Arial"/>
                <w:sz w:val="18"/>
                <w:szCs w:val="18"/>
                <w:b w:val="1"/>
                <w:bCs w:val="1"/>
                <w:color w:val="auto"/>
              </w:rPr>
              <w:t>Description</w:t>
            </w:r>
          </w:p>
        </w:tc>
        <w:tc>
          <w:tcPr>
            <w:tcW w:w="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Form</w:t>
            </w:r>
          </w:p>
        </w:tc>
        <w:tc>
          <w:tcPr>
            <w:tcW w:w="1680" w:type="dxa"/>
            <w:vAlign w:val="bottom"/>
            <w:gridSpan w:val="2"/>
          </w:tcPr>
          <w:p>
            <w:pPr>
              <w:ind w:left="460"/>
              <w:spacing w:after="0"/>
              <w:rPr>
                <w:sz w:val="20"/>
                <w:szCs w:val="20"/>
                <w:color w:val="auto"/>
              </w:rPr>
            </w:pPr>
            <w:r>
              <w:rPr>
                <w:rFonts w:ascii="Arial" w:cs="Arial" w:eastAsia="Arial" w:hAnsi="Arial"/>
                <w:sz w:val="18"/>
                <w:szCs w:val="18"/>
                <w:b w:val="1"/>
                <w:bCs w:val="1"/>
                <w:color w:val="auto"/>
              </w:rPr>
              <w:t>Number</w:t>
            </w:r>
          </w:p>
        </w:tc>
        <w:tc>
          <w:tcPr>
            <w:tcW w:w="1660" w:type="dxa"/>
            <w:vAlign w:val="bottom"/>
            <w:gridSpan w:val="2"/>
          </w:tcPr>
          <w:p>
            <w:pPr>
              <w:ind w:left="360"/>
              <w:spacing w:after="0"/>
              <w:rPr>
                <w:sz w:val="20"/>
                <w:szCs w:val="20"/>
                <w:color w:val="auto"/>
              </w:rPr>
            </w:pPr>
            <w:r>
              <w:rPr>
                <w:rFonts w:ascii="Arial" w:cs="Arial" w:eastAsia="Arial" w:hAnsi="Arial"/>
                <w:sz w:val="18"/>
                <w:szCs w:val="18"/>
                <w:b w:val="1"/>
                <w:bCs w:val="1"/>
                <w:color w:val="auto"/>
              </w:rPr>
              <w:t>Filing Date</w:t>
            </w:r>
          </w:p>
        </w:tc>
        <w:tc>
          <w:tcPr>
            <w:tcW w:w="90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r>
      <w:tr>
        <w:trPr>
          <w:trHeight w:val="175"/>
        </w:trPr>
        <w:tc>
          <w:tcPr>
            <w:tcW w:w="6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auto"/>
            </w:tcBorders>
            <w:gridSpan w:val="34"/>
            <w:shd w:val="clear" w:color="auto" w:fill="CCEEFF"/>
          </w:tcPr>
          <w:p>
            <w:pPr>
              <w:spacing w:after="0" w:line="176" w:lineRule="exact"/>
              <w:rPr>
                <w:rFonts w:ascii="Arial" w:cs="Arial" w:eastAsia="Arial" w:hAnsi="Arial"/>
                <w:sz w:val="18"/>
                <w:szCs w:val="18"/>
                <w:color w:val="0000EE"/>
                <w:w w:val="95"/>
              </w:rPr>
            </w:pPr>
            <w:hyperlink r:id="rId187">
              <w:r>
                <w:rPr>
                  <w:rFonts w:ascii="Arial" w:cs="Arial" w:eastAsia="Arial" w:hAnsi="Arial"/>
                  <w:sz w:val="18"/>
                  <w:szCs w:val="18"/>
                  <w:color w:val="0000EE"/>
                  <w:w w:val="95"/>
                </w:rPr>
                <w:t>Business Combination Agreement, dated as of May 5, 2021, by</w:t>
              </w:r>
            </w:hyperlink>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9"/>
              </w:rPr>
              <w:t>8-K</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5/6/2021</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2.1</w:t>
            </w:r>
          </w:p>
        </w:tc>
      </w:tr>
      <w:tr>
        <w:trPr>
          <w:trHeight w:val="20"/>
        </w:trPr>
        <w:tc>
          <w:tcPr>
            <w:tcW w:w="6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EE"/>
            </w:tcBorders>
            <w:gridSpan w:val="32"/>
            <w:shd w:val="clear" w:color="auto" w:fill="CCEEFF"/>
          </w:tcPr>
          <w:p>
            <w:pPr>
              <w:spacing w:after="0" w:line="196" w:lineRule="exact"/>
              <w:rPr>
                <w:rFonts w:ascii="Arial" w:cs="Arial" w:eastAsia="Arial" w:hAnsi="Arial"/>
                <w:sz w:val="18"/>
                <w:szCs w:val="18"/>
                <w:color w:val="0000EE"/>
                <w:w w:val="92"/>
              </w:rPr>
            </w:pPr>
            <w:hyperlink r:id="rId187">
              <w:r>
                <w:rPr>
                  <w:rFonts w:ascii="Arial" w:cs="Arial" w:eastAsia="Arial" w:hAnsi="Arial"/>
                  <w:sz w:val="18"/>
                  <w:szCs w:val="18"/>
                  <w:color w:val="0000EE"/>
                  <w:w w:val="92"/>
                </w:rPr>
                <w:t>and among Amplitude Healthcare Acquisition Corporation, Ample</w:t>
              </w:r>
            </w:hyperlink>
          </w:p>
        </w:tc>
        <w:tc>
          <w:tcPr>
            <w:tcW w:w="30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gridSpan w:val="36"/>
            <w:shd w:val="clear" w:color="auto" w:fill="CCEEFF"/>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Merger Sub, Inc., and Jasper Therapeutics, Inc.</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40" w:type="dxa"/>
            <w:vAlign w:val="bottom"/>
            <w:tcBorders>
              <w:bottom w:val="single" w:sz="8" w:color="0000EE"/>
            </w:tcBorders>
            <w:gridSpan w:val="29"/>
          </w:tcPr>
          <w:p>
            <w:pPr>
              <w:spacing w:after="0" w:line="17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Second Amended and Restated Certificate of Incorporation of the</w:t>
              </w:r>
            </w:hyperlink>
          </w:p>
        </w:tc>
        <w:tc>
          <w:tcPr>
            <w:tcW w:w="380" w:type="dxa"/>
            <w:vAlign w:val="bottom"/>
            <w:gridSpan w:val="7"/>
          </w:tcPr>
          <w:p>
            <w:pPr>
              <w:spacing w:after="0"/>
              <w:rPr>
                <w:sz w:val="15"/>
                <w:szCs w:val="15"/>
                <w:color w:val="auto"/>
              </w:rPr>
            </w:pPr>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7"/>
              </w:rPr>
              <w:t>3.1</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36"/>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Registrant.</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r:id="rId189">
              <w:r>
                <w:rPr>
                  <w:rFonts w:ascii="Arial" w:cs="Arial" w:eastAsia="Arial" w:hAnsi="Arial"/>
                  <w:sz w:val="18"/>
                  <w:szCs w:val="18"/>
                  <w:color w:val="0000EE"/>
                  <w:w w:val="89"/>
                </w:rPr>
                <w:t>Second Amended and Restated Bylaws of the Registrant.</w:t>
              </w:r>
            </w:hyperlink>
          </w:p>
        </w:tc>
        <w:tc>
          <w:tcPr>
            <w:tcW w:w="1000" w:type="dxa"/>
            <w:vAlign w:val="bottom"/>
            <w:tcBorders>
              <w:bottom w:val="single" w:sz="8" w:color="CCEEFF"/>
            </w:tcBorders>
            <w:gridSpan w:val="19"/>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3.2</w:t>
            </w: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6"/>
          </w:tcPr>
          <w:p>
            <w:pPr>
              <w:spacing w:after="0" w:line="176" w:lineRule="exact"/>
              <w:rPr>
                <w:rFonts w:ascii="Arial" w:cs="Arial" w:eastAsia="Arial" w:hAnsi="Arial"/>
                <w:sz w:val="18"/>
                <w:szCs w:val="18"/>
                <w:color w:val="0000EE"/>
              </w:rPr>
            </w:pPr>
            <w:hyperlink r:id="rId190">
              <w:r>
                <w:rPr>
                  <w:rFonts w:ascii="Arial" w:cs="Arial" w:eastAsia="Arial" w:hAnsi="Arial"/>
                  <w:sz w:val="18"/>
                  <w:szCs w:val="18"/>
                  <w:color w:val="0000EE"/>
                </w:rPr>
                <w:t>Form of Warrant Agreement, dated November 19, 2019, by and</w:t>
              </w:r>
            </w:hyperlink>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8"/>
              </w:rPr>
              <w:t>11/25/2019</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7"/>
              </w:rPr>
              <w:t>4.1</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tcBorders>
            <w:gridSpan w:val="26"/>
          </w:tcPr>
          <w:p>
            <w:pPr>
              <w:spacing w:after="0" w:line="196" w:lineRule="exact"/>
              <w:rPr>
                <w:rFonts w:ascii="Arial" w:cs="Arial" w:eastAsia="Arial" w:hAnsi="Arial"/>
                <w:sz w:val="18"/>
                <w:szCs w:val="18"/>
                <w:color w:val="0000EE"/>
                <w:w w:val="90"/>
              </w:rPr>
            </w:pPr>
            <w:hyperlink r:id="rId190">
              <w:r>
                <w:rPr>
                  <w:rFonts w:ascii="Arial" w:cs="Arial" w:eastAsia="Arial" w:hAnsi="Arial"/>
                  <w:sz w:val="18"/>
                  <w:szCs w:val="18"/>
                  <w:color w:val="0000EE"/>
                  <w:w w:val="90"/>
                </w:rPr>
                <w:t>between the Registrant and Continental Stock Transfer &amp; Trust</w:t>
              </w:r>
            </w:hyperlink>
          </w:p>
        </w:tc>
        <w:tc>
          <w:tcPr>
            <w:tcW w:w="54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90">
              <w:r>
                <w:rPr>
                  <w:rFonts w:ascii="Arial" w:cs="Arial" w:eastAsia="Arial" w:hAnsi="Arial"/>
                  <w:sz w:val="18"/>
                  <w:szCs w:val="18"/>
                  <w:color w:val="0000EE"/>
                </w:rPr>
                <w:t>Company, as warrant agent.</w:t>
              </w:r>
            </w:hyperlink>
          </w:p>
        </w:tc>
        <w:tc>
          <w:tcPr>
            <w:tcW w:w="54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120" w:type="dxa"/>
            <w:vAlign w:val="bottom"/>
            <w:gridSpan w:val="36"/>
            <w:shd w:val="clear" w:color="auto" w:fill="CCEEFF"/>
          </w:tcPr>
          <w:p>
            <w:pPr>
              <w:spacing w:after="0" w:line="176" w:lineRule="exact"/>
              <w:rPr>
                <w:rFonts w:ascii="Arial" w:cs="Arial" w:eastAsia="Arial" w:hAnsi="Arial"/>
                <w:sz w:val="18"/>
                <w:szCs w:val="18"/>
                <w:color w:val="0000EE"/>
              </w:rPr>
            </w:pPr>
            <w:hyperlink r:id="rId191">
              <w:r>
                <w:rPr>
                  <w:rFonts w:ascii="Arial" w:cs="Arial" w:eastAsia="Arial" w:hAnsi="Arial"/>
                  <w:sz w:val="18"/>
                  <w:szCs w:val="18"/>
                  <w:color w:val="0000EE"/>
                </w:rPr>
                <w:t>Specimen Warrant Certificate.</w:t>
              </w:r>
            </w:hyperlink>
          </w:p>
        </w:tc>
        <w:tc>
          <w:tcPr>
            <w:tcW w:w="740" w:type="dxa"/>
            <w:vAlign w:val="bottom"/>
            <w:gridSpan w:val="2"/>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3"/>
              </w:rPr>
              <w:t>S-1/A</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333-234324</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11/6/2019</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4.3*</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6"/>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Description of Securities of Jasper Therapeutics, Inc.</w:t>
              </w:r>
            </w:hyperlink>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120" w:type="dxa"/>
            <w:vAlign w:val="bottom"/>
            <w:gridSpan w:val="36"/>
            <w:shd w:val="clear" w:color="auto" w:fill="CCEEFF"/>
          </w:tcPr>
          <w:p>
            <w:pPr>
              <w:spacing w:after="0" w:line="176" w:lineRule="exact"/>
              <w:rPr>
                <w:rFonts w:ascii="Arial" w:cs="Arial" w:eastAsia="Arial" w:hAnsi="Arial"/>
                <w:sz w:val="18"/>
                <w:szCs w:val="18"/>
                <w:color w:val="0000EE"/>
              </w:rPr>
            </w:pPr>
            <w:hyperlink r:id="rId192">
              <w:r>
                <w:rPr>
                  <w:rFonts w:ascii="Arial" w:cs="Arial" w:eastAsia="Arial" w:hAnsi="Arial"/>
                  <w:sz w:val="18"/>
                  <w:szCs w:val="18"/>
                  <w:color w:val="0000EE"/>
                </w:rPr>
                <w:t>Form of Subscription Agreement, dated May 5, 2021.</w:t>
              </w:r>
            </w:hyperlink>
          </w:p>
        </w:tc>
        <w:tc>
          <w:tcPr>
            <w:tcW w:w="74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5/6/2021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40" w:type="dxa"/>
            <w:vAlign w:val="bottom"/>
            <w:tcBorders>
              <w:bottom w:val="single" w:sz="8" w:color="0000EE"/>
            </w:tcBorders>
            <w:gridSpan w:val="23"/>
          </w:tcPr>
          <w:p>
            <w:pPr>
              <w:spacing w:after="0" w:line="17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Amended and Restated Registration Rights Agreement, dated</w:t>
              </w:r>
            </w:hyperlink>
          </w:p>
        </w:tc>
        <w:tc>
          <w:tcPr>
            <w:tcW w:w="680" w:type="dxa"/>
            <w:vAlign w:val="bottom"/>
            <w:gridSpan w:val="13"/>
          </w:tcPr>
          <w:p>
            <w:pPr>
              <w:spacing w:after="0"/>
              <w:rPr>
                <w:sz w:val="15"/>
                <w:szCs w:val="15"/>
                <w:color w:val="auto"/>
              </w:rPr>
            </w:pPr>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1"/>
              </w:rPr>
              <w:t>10.2</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36"/>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September 24, 2021.</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120" w:type="dxa"/>
            <w:vAlign w:val="bottom"/>
            <w:gridSpan w:val="36"/>
            <w:shd w:val="clear" w:color="auto" w:fill="CCEEFF"/>
          </w:tcPr>
          <w:p>
            <w:pPr>
              <w:spacing w:after="0" w:line="176" w:lineRule="exact"/>
              <w:rPr>
                <w:rFonts w:ascii="Arial" w:cs="Arial" w:eastAsia="Arial" w:hAnsi="Arial"/>
                <w:sz w:val="18"/>
                <w:szCs w:val="18"/>
                <w:color w:val="0000EE"/>
              </w:rPr>
            </w:pPr>
            <w:hyperlink r:id="rId194">
              <w:r>
                <w:rPr>
                  <w:rFonts w:ascii="Arial" w:cs="Arial" w:eastAsia="Arial" w:hAnsi="Arial"/>
                  <w:sz w:val="18"/>
                  <w:szCs w:val="18"/>
                  <w:color w:val="0000EE"/>
                </w:rPr>
                <w:t>Jasper Therapeutics, Inc. 2021 Equity Incentive Plan.</w:t>
              </w:r>
            </w:hyperlink>
          </w:p>
        </w:tc>
        <w:tc>
          <w:tcPr>
            <w:tcW w:w="74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10.3</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10.4#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6"/>
          </w:tcPr>
          <w:p>
            <w:pPr>
              <w:spacing w:after="0" w:line="176" w:lineRule="exact"/>
              <w:rPr>
                <w:rFonts w:ascii="Arial" w:cs="Arial" w:eastAsia="Arial" w:hAnsi="Arial"/>
                <w:sz w:val="18"/>
                <w:szCs w:val="18"/>
                <w:color w:val="0000EE"/>
              </w:rPr>
            </w:pPr>
            <w:hyperlink r:id="rId195">
              <w:r>
                <w:rPr>
                  <w:rFonts w:ascii="Arial" w:cs="Arial" w:eastAsia="Arial" w:hAnsi="Arial"/>
                  <w:sz w:val="18"/>
                  <w:szCs w:val="18"/>
                  <w:color w:val="0000EE"/>
                </w:rPr>
                <w:t>Jasper Therapeutics, Inc. 2021 Equity Incentive Plan Form of</w:t>
              </w:r>
            </w:hyperlink>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1"/>
              </w:rPr>
              <w:t>10.4</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20" w:type="dxa"/>
            <w:vAlign w:val="bottom"/>
            <w:tcBorders>
              <w:top w:val="single" w:sz="8" w:color="0000EE"/>
            </w:tcBorders>
            <w:gridSpan w:val="22"/>
          </w:tcPr>
          <w:p>
            <w:pPr>
              <w:spacing w:after="0" w:line="196" w:lineRule="exact"/>
              <w:rPr>
                <w:rFonts w:ascii="Arial" w:cs="Arial" w:eastAsia="Arial" w:hAnsi="Arial"/>
                <w:sz w:val="18"/>
                <w:szCs w:val="18"/>
                <w:color w:val="0000EE"/>
                <w:w w:val="97"/>
              </w:rPr>
            </w:pPr>
            <w:hyperlink r:id="rId195">
              <w:r>
                <w:rPr>
                  <w:rFonts w:ascii="Arial" w:cs="Arial" w:eastAsia="Arial" w:hAnsi="Arial"/>
                  <w:sz w:val="18"/>
                  <w:szCs w:val="18"/>
                  <w:color w:val="0000EE"/>
                  <w:w w:val="97"/>
                </w:rPr>
                <w:t>Stock Option Grant Notice and Stock Option Agreement.</w:t>
              </w:r>
            </w:hyperlink>
          </w:p>
        </w:tc>
        <w:tc>
          <w:tcPr>
            <w:tcW w:w="700" w:type="dxa"/>
            <w:vAlign w:val="bottom"/>
            <w:gridSpan w:val="14"/>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120" w:type="dxa"/>
            <w:vAlign w:val="bottom"/>
            <w:gridSpan w:val="36"/>
            <w:shd w:val="clear" w:color="auto" w:fill="CCEEFF"/>
          </w:tcPr>
          <w:p>
            <w:pPr>
              <w:spacing w:after="0" w:line="176" w:lineRule="exact"/>
              <w:rPr>
                <w:rFonts w:ascii="Arial" w:cs="Arial" w:eastAsia="Arial" w:hAnsi="Arial"/>
                <w:sz w:val="18"/>
                <w:szCs w:val="18"/>
                <w:color w:val="0000EE"/>
                <w:w w:val="96"/>
              </w:rPr>
            </w:pPr>
            <w:hyperlink r:id="rId196">
              <w:r>
                <w:rPr>
                  <w:rFonts w:ascii="Arial" w:cs="Arial" w:eastAsia="Arial" w:hAnsi="Arial"/>
                  <w:sz w:val="18"/>
                  <w:szCs w:val="18"/>
                  <w:color w:val="0000EE"/>
                  <w:w w:val="96"/>
                </w:rPr>
                <w:t>Jasper Therapeutics, Inc. 2021 Equity Incentive Plan Form of RSU</w:t>
              </w:r>
            </w:hyperlink>
          </w:p>
        </w:tc>
        <w:tc>
          <w:tcPr>
            <w:tcW w:w="74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10.5</w:t>
            </w: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0000EE"/>
            </w:tcBorders>
            <w:gridSpan w:val="32"/>
            <w:shd w:val="clear" w:color="auto" w:fill="CCEEFF"/>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Grant Notice and Award Agreement (RSU Award).</w:t>
              </w:r>
            </w:hyperlink>
          </w:p>
        </w:tc>
        <w:tc>
          <w:tcPr>
            <w:tcW w:w="300" w:type="dxa"/>
            <w:vAlign w:val="bottom"/>
            <w:tcBorders>
              <w:top w:val="single" w:sz="8" w:color="CCEEFF"/>
            </w:tcBorders>
            <w:gridSpan w:val="4"/>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10.6#</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6"/>
          </w:tcPr>
          <w:p>
            <w:pPr>
              <w:spacing w:after="0" w:line="176" w:lineRule="exact"/>
              <w:rPr>
                <w:rFonts w:ascii="Arial" w:cs="Arial" w:eastAsia="Arial" w:hAnsi="Arial"/>
                <w:sz w:val="18"/>
                <w:szCs w:val="18"/>
                <w:color w:val="0000EE"/>
              </w:rPr>
            </w:pPr>
            <w:hyperlink r:id="rId197">
              <w:r>
                <w:rPr>
                  <w:rFonts w:ascii="Arial" w:cs="Arial" w:eastAsia="Arial" w:hAnsi="Arial"/>
                  <w:sz w:val="18"/>
                  <w:szCs w:val="18"/>
                  <w:color w:val="0000EE"/>
                </w:rPr>
                <w:t>Jasper Therapeutics, Inc. 2021 Employee Stock Purchase Plan.</w:t>
              </w:r>
            </w:hyperlink>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1"/>
              </w:rPr>
              <w:t>10.6</w:t>
            </w:r>
          </w:p>
        </w:tc>
      </w:tr>
      <w:tr>
        <w:trPr>
          <w:trHeight w:val="21"/>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72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Employment Agreement, dated as of September 24, 2021, by and</w:t>
              </w:r>
            </w:hyperlink>
          </w:p>
        </w:tc>
        <w:tc>
          <w:tcPr>
            <w:tcW w:w="400" w:type="dxa"/>
            <w:vAlign w:val="bottom"/>
            <w:tcBorders>
              <w:bottom w:val="single" w:sz="8" w:color="CCEEFF"/>
            </w:tcBorders>
            <w:gridSpan w:val="8"/>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10.7</w:t>
            </w: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gridSpan w:val="36"/>
            <w:shd w:val="clear" w:color="auto" w:fill="CCEEFF"/>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between Jasper Therapeutics, Inc. and William Lis.</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10.8#</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20" w:type="dxa"/>
            <w:vAlign w:val="bottom"/>
            <w:tcBorders>
              <w:bottom w:val="single" w:sz="8" w:color="0000EE"/>
            </w:tcBorders>
            <w:gridSpan w:val="28"/>
          </w:tcPr>
          <w:p>
            <w:pPr>
              <w:spacing w:after="0" w:line="176" w:lineRule="exact"/>
              <w:rPr>
                <w:rFonts w:ascii="Arial" w:cs="Arial" w:eastAsia="Arial" w:hAnsi="Arial"/>
                <w:sz w:val="18"/>
                <w:szCs w:val="18"/>
                <w:color w:val="0000EE"/>
                <w:w w:val="89"/>
              </w:rPr>
            </w:pPr>
            <w:hyperlink r:id="rId199">
              <w:r>
                <w:rPr>
                  <w:rFonts w:ascii="Arial" w:cs="Arial" w:eastAsia="Arial" w:hAnsi="Arial"/>
                  <w:sz w:val="18"/>
                  <w:szCs w:val="18"/>
                  <w:color w:val="0000EE"/>
                  <w:w w:val="89"/>
                </w:rPr>
                <w:t>Employment Agreement, dated as of September 24, 2021, by and</w:t>
              </w:r>
            </w:hyperlink>
          </w:p>
        </w:tc>
        <w:tc>
          <w:tcPr>
            <w:tcW w:w="400" w:type="dxa"/>
            <w:vAlign w:val="bottom"/>
            <w:gridSpan w:val="8"/>
          </w:tcPr>
          <w:p>
            <w:pPr>
              <w:spacing w:after="0"/>
              <w:rPr>
                <w:sz w:val="15"/>
                <w:szCs w:val="15"/>
                <w:color w:val="auto"/>
              </w:rPr>
            </w:pPr>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1"/>
              </w:rPr>
              <w:t>10.8</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36"/>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between Jasper Therapeutics, Inc. and Jeet Mahal.</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72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Employment Agreement, dated as of September 24, 2021, by and</w:t>
              </w:r>
            </w:hyperlink>
          </w:p>
        </w:tc>
        <w:tc>
          <w:tcPr>
            <w:tcW w:w="400" w:type="dxa"/>
            <w:vAlign w:val="bottom"/>
            <w:tcBorders>
              <w:bottom w:val="single" w:sz="8" w:color="CCEEFF"/>
            </w:tcBorders>
            <w:gridSpan w:val="8"/>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10.9</w:t>
            </w:r>
          </w:p>
        </w:tc>
      </w:tr>
      <w:tr>
        <w:trPr>
          <w:trHeight w:val="217"/>
        </w:trPr>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76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89"/>
              </w:rPr>
            </w:pPr>
            <w:hyperlink r:id="rId200">
              <w:r>
                <w:rPr>
                  <w:rFonts w:ascii="Arial" w:cs="Arial" w:eastAsia="Arial" w:hAnsi="Arial"/>
                  <w:sz w:val="18"/>
                  <w:szCs w:val="18"/>
                  <w:color w:val="0000EE"/>
                  <w:w w:val="89"/>
                </w:rPr>
                <w:t>between Jasper Therapeutics, Inc. and Kevin Heller.</w:t>
              </w:r>
            </w:hyperlink>
          </w:p>
        </w:tc>
        <w:tc>
          <w:tcPr>
            <w:tcW w:w="1360" w:type="dxa"/>
            <w:vAlign w:val="bottom"/>
            <w:tcBorders>
              <w:bottom w:val="single" w:sz="8" w:color="CCEEFF"/>
            </w:tcBorders>
            <w:gridSpan w:val="25"/>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10.10#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20" w:type="dxa"/>
            <w:vAlign w:val="bottom"/>
            <w:gridSpan w:val="36"/>
          </w:tcPr>
          <w:p>
            <w:pPr>
              <w:spacing w:after="0" w:line="176" w:lineRule="exact"/>
              <w:rPr>
                <w:rFonts w:ascii="Arial" w:cs="Arial" w:eastAsia="Arial" w:hAnsi="Arial"/>
                <w:sz w:val="18"/>
                <w:szCs w:val="18"/>
                <w:color w:val="0000EE"/>
              </w:rPr>
            </w:pPr>
            <w:hyperlink r:id="rId201">
              <w:r>
                <w:rPr>
                  <w:rFonts w:ascii="Arial" w:cs="Arial" w:eastAsia="Arial" w:hAnsi="Arial"/>
                  <w:sz w:val="18"/>
                  <w:szCs w:val="18"/>
                  <w:color w:val="0000EE"/>
                </w:rPr>
                <w:t>Jasper Therapeutics, Inc. Employee Severance Plan for Vice</w:t>
              </w:r>
            </w:hyperlink>
          </w:p>
        </w:tc>
        <w:tc>
          <w:tcPr>
            <w:tcW w:w="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S-4/A</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333-256875</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7/19/2021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10.11</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Presidents and Executive Committee Members.</w:t>
              </w:r>
            </w:hyperlink>
          </w:p>
        </w:tc>
        <w:tc>
          <w:tcPr>
            <w:tcW w:w="78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120" w:type="dxa"/>
            <w:vAlign w:val="bottom"/>
            <w:gridSpan w:val="36"/>
            <w:shd w:val="clear" w:color="auto" w:fill="CCEEFF"/>
          </w:tcPr>
          <w:p>
            <w:pPr>
              <w:spacing w:after="0" w:line="176" w:lineRule="exact"/>
              <w:rPr>
                <w:rFonts w:ascii="Arial" w:cs="Arial" w:eastAsia="Arial" w:hAnsi="Arial"/>
                <w:sz w:val="18"/>
                <w:szCs w:val="18"/>
                <w:color w:val="0000EE"/>
              </w:rPr>
            </w:pPr>
            <w:hyperlink r:id="rId202">
              <w:r>
                <w:rPr>
                  <w:rFonts w:ascii="Arial" w:cs="Arial" w:eastAsia="Arial" w:hAnsi="Arial"/>
                  <w:sz w:val="18"/>
                  <w:szCs w:val="18"/>
                  <w:color w:val="0000EE"/>
                </w:rPr>
                <w:t>Jasper Therapeutics, Inc. 2019 Equity Incentive Plan.</w:t>
              </w:r>
            </w:hyperlink>
          </w:p>
        </w:tc>
        <w:tc>
          <w:tcPr>
            <w:tcW w:w="740" w:type="dxa"/>
            <w:vAlign w:val="bottom"/>
            <w:gridSpan w:val="2"/>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3"/>
              </w:rPr>
              <w:t>S-4/A</w:t>
            </w: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333-256875</w:t>
            </w: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7/19/2021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10.12</w:t>
            </w: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10.12#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00" w:type="dxa"/>
            <w:vAlign w:val="bottom"/>
            <w:tcBorders>
              <w:bottom w:val="single" w:sz="8" w:color="0000EE"/>
            </w:tcBorders>
            <w:gridSpan w:val="20"/>
          </w:tcPr>
          <w:p>
            <w:pPr>
              <w:spacing w:after="0" w:line="17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Form of Indemnification Agreement by and between Jasper</w:t>
              </w:r>
            </w:hyperlink>
          </w:p>
        </w:tc>
        <w:tc>
          <w:tcPr>
            <w:tcW w:w="820" w:type="dxa"/>
            <w:vAlign w:val="bottom"/>
            <w:gridSpan w:val="16"/>
          </w:tcPr>
          <w:p>
            <w:pPr>
              <w:spacing w:after="0"/>
              <w:rPr>
                <w:sz w:val="15"/>
                <w:szCs w:val="15"/>
                <w:color w:val="auto"/>
              </w:rPr>
            </w:pPr>
          </w:p>
        </w:tc>
        <w:tc>
          <w:tcPr>
            <w:tcW w:w="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S-4/A</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333-256875</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7/19/2021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10.28</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36"/>
          </w:tcPr>
          <w:p>
            <w:pPr>
              <w:spacing w:after="0" w:line="196" w:lineRule="exact"/>
              <w:rPr>
                <w:rFonts w:ascii="Arial" w:cs="Arial" w:eastAsia="Arial" w:hAnsi="Arial"/>
                <w:sz w:val="18"/>
                <w:szCs w:val="18"/>
                <w:color w:val="0000EE"/>
                <w:w w:val="97"/>
              </w:rPr>
            </w:pPr>
            <w:hyperlink r:id="rId203">
              <w:r>
                <w:rPr>
                  <w:rFonts w:ascii="Arial" w:cs="Arial" w:eastAsia="Arial" w:hAnsi="Arial"/>
                  <w:sz w:val="18"/>
                  <w:szCs w:val="18"/>
                  <w:color w:val="0000EE"/>
                  <w:w w:val="97"/>
                </w:rPr>
                <w:t>Therapeutics, Inc. and each of its directors and executive officers.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89"/>
              </w:rPr>
            </w:pPr>
            <w:hyperlink r:id="rId193">
              <w:r>
                <w:rPr>
                  <w:rFonts w:ascii="Arial" w:cs="Arial" w:eastAsia="Arial" w:hAnsi="Arial"/>
                  <w:sz w:val="18"/>
                  <w:szCs w:val="18"/>
                  <w:color w:val="0000EE"/>
                  <w:w w:val="89"/>
                </w:rPr>
                <w:t>Sponsor Support Agreement, dated as of May 5, 2021, by and</w:t>
              </w:r>
            </w:hyperlink>
          </w:p>
        </w:tc>
        <w:tc>
          <w:tcPr>
            <w:tcW w:w="660" w:type="dxa"/>
            <w:vAlign w:val="bottom"/>
            <w:tcBorders>
              <w:bottom w:val="single" w:sz="8" w:color="CCEEFF"/>
            </w:tcBorders>
            <w:gridSpan w:val="12"/>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5/6/2021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r>
      <w:tr>
        <w:trPr>
          <w:trHeight w:val="196"/>
        </w:trPr>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120" w:type="dxa"/>
            <w:vAlign w:val="bottom"/>
            <w:gridSpan w:val="36"/>
            <w:shd w:val="clear" w:color="auto" w:fill="CCEEFF"/>
          </w:tcPr>
          <w:p>
            <w:pPr>
              <w:spacing w:after="0" w:line="196" w:lineRule="exact"/>
              <w:rPr>
                <w:rFonts w:ascii="Arial" w:cs="Arial" w:eastAsia="Arial" w:hAnsi="Arial"/>
                <w:sz w:val="18"/>
                <w:szCs w:val="18"/>
                <w:color w:val="0000EE"/>
                <w:w w:val="99"/>
              </w:rPr>
            </w:pPr>
            <w:hyperlink r:id="rId193">
              <w:r>
                <w:rPr>
                  <w:rFonts w:ascii="Arial" w:cs="Arial" w:eastAsia="Arial" w:hAnsi="Arial"/>
                  <w:sz w:val="18"/>
                  <w:szCs w:val="18"/>
                  <w:color w:val="0000EE"/>
                  <w:w w:val="99"/>
                </w:rPr>
                <w:t>among Amplitude Healthcare Acquisition Corporation, Amplitude</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0000EE"/>
            </w:tcBorders>
            <w:gridSpan w:val="30"/>
            <w:shd w:val="clear" w:color="auto" w:fill="CCEEFF"/>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Healthcare Holdings LLC and Jasper Therapeutics, Inc.</w:t>
              </w:r>
            </w:hyperlink>
          </w:p>
        </w:tc>
        <w:tc>
          <w:tcPr>
            <w:tcW w:w="340" w:type="dxa"/>
            <w:vAlign w:val="bottom"/>
            <w:tcBorders>
              <w:top w:val="single" w:sz="8" w:color="CCEEFF"/>
            </w:tcBorders>
            <w:gridSpan w:val="6"/>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8"/>
                <w:szCs w:val="18"/>
                <w:color w:val="auto"/>
              </w:rPr>
              <w:t>10.14</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tcBorders>
              <w:bottom w:val="single" w:sz="8" w:color="0000EE"/>
            </w:tcBorders>
            <w:gridSpan w:val="16"/>
          </w:tcPr>
          <w:p>
            <w:pPr>
              <w:spacing w:after="0" w:line="17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Amendment to Sponsor Support Agreement, dated as of</w:t>
              </w:r>
            </w:hyperlink>
          </w:p>
        </w:tc>
        <w:tc>
          <w:tcPr>
            <w:tcW w:w="1080" w:type="dxa"/>
            <w:vAlign w:val="bottom"/>
            <w:gridSpan w:val="20"/>
          </w:tcPr>
          <w:p>
            <w:pPr>
              <w:spacing w:after="0"/>
              <w:rPr>
                <w:sz w:val="15"/>
                <w:szCs w:val="15"/>
                <w:color w:val="auto"/>
              </w:rPr>
            </w:pPr>
          </w:p>
        </w:tc>
        <w:tc>
          <w:tcPr>
            <w:tcW w:w="7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8-K</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10.14</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September 24, 2021, by and among Amplitude Healthcare</w:t>
              </w:r>
            </w:hyperlink>
          </w:p>
        </w:tc>
        <w:tc>
          <w:tcPr>
            <w:tcW w:w="920" w:type="dxa"/>
            <w:vAlign w:val="bottom"/>
            <w:gridSpan w:val="17"/>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r:id="rId204">
              <w:r>
                <w:rPr>
                  <w:rFonts w:ascii="Arial" w:cs="Arial" w:eastAsia="Arial" w:hAnsi="Arial"/>
                  <w:sz w:val="18"/>
                  <w:szCs w:val="18"/>
                  <w:color w:val="0000EE"/>
                  <w:w w:val="93"/>
                </w:rPr>
                <w:t>Acquisition Corporation, Amplitude Healthcare Holdings LLC and</w:t>
              </w:r>
            </w:hyperlink>
          </w:p>
        </w:tc>
        <w:tc>
          <w:tcPr>
            <w:tcW w:w="2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36"/>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Jasper Therapeutics, Inc.</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0000EE"/>
            </w:tcBorders>
            <w:gridSpan w:val="31"/>
            <w:shd w:val="clear" w:color="auto" w:fill="CCEEFF"/>
          </w:tcPr>
          <w:p>
            <w:pPr>
              <w:spacing w:after="0" w:line="176" w:lineRule="exact"/>
              <w:rPr>
                <w:rFonts w:ascii="Arial" w:cs="Arial" w:eastAsia="Arial" w:hAnsi="Arial"/>
                <w:sz w:val="18"/>
                <w:szCs w:val="18"/>
                <w:color w:val="0000EE"/>
                <w:w w:val="89"/>
              </w:rPr>
            </w:pPr>
            <w:hyperlink r:id="rId205">
              <w:r>
                <w:rPr>
                  <w:rFonts w:ascii="Arial" w:cs="Arial" w:eastAsia="Arial" w:hAnsi="Arial"/>
                  <w:sz w:val="18"/>
                  <w:szCs w:val="18"/>
                  <w:color w:val="0000EE"/>
                  <w:w w:val="89"/>
                </w:rPr>
                <w:t>Consulting Agreement, dated December 16, 2019, by and between</w:t>
              </w:r>
            </w:hyperlink>
          </w:p>
        </w:tc>
        <w:tc>
          <w:tcPr>
            <w:tcW w:w="320" w:type="dxa"/>
            <w:vAlign w:val="bottom"/>
            <w:tcBorders>
              <w:bottom w:val="single" w:sz="8" w:color="CCEEFF"/>
            </w:tcBorders>
            <w:gridSpan w:val="5"/>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center"/>
              <w:ind w:right="280"/>
              <w:spacing w:after="0" w:line="176" w:lineRule="exact"/>
              <w:rPr>
                <w:sz w:val="20"/>
                <w:szCs w:val="20"/>
                <w:color w:val="auto"/>
              </w:rPr>
            </w:pPr>
            <w:r>
              <w:rPr>
                <w:rFonts w:ascii="Arial" w:cs="Arial" w:eastAsia="Arial" w:hAnsi="Arial"/>
                <w:sz w:val="18"/>
                <w:szCs w:val="18"/>
                <w:color w:val="auto"/>
                <w:w w:val="93"/>
              </w:rPr>
              <w:t>S-4/A</w:t>
            </w: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333-256875</w:t>
            </w:r>
          </w:p>
        </w:tc>
        <w:tc>
          <w:tcPr>
            <w:tcW w:w="12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8/9/2021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10.29</w:t>
            </w:r>
          </w:p>
        </w:tc>
      </w:tr>
      <w:tr>
        <w:trPr>
          <w:trHeight w:val="217"/>
        </w:trPr>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16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Jasper Therapeutics, Inc. and Judith Shizuru, M.D., Ph.D.</w:t>
              </w:r>
            </w:hyperlink>
          </w:p>
        </w:tc>
        <w:tc>
          <w:tcPr>
            <w:tcW w:w="960" w:type="dxa"/>
            <w:vAlign w:val="bottom"/>
            <w:tcBorders>
              <w:bottom w:val="single" w:sz="8" w:color="CCEEFF"/>
            </w:tcBorders>
            <w:gridSpan w:val="18"/>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75"/>
        </w:trPr>
        <w:tc>
          <w:tcPr>
            <w:tcW w:w="660" w:type="dxa"/>
            <w:vAlign w:val="bottom"/>
          </w:tcPr>
          <w:p>
            <w:pPr>
              <w:spacing w:after="0" w:line="176" w:lineRule="exact"/>
              <w:rPr>
                <w:sz w:val="20"/>
                <w:szCs w:val="20"/>
                <w:color w:val="auto"/>
              </w:rPr>
            </w:pPr>
            <w:r>
              <w:rPr>
                <w:rFonts w:ascii="Arial" w:cs="Arial" w:eastAsia="Arial" w:hAnsi="Arial"/>
                <w:sz w:val="18"/>
                <w:szCs w:val="18"/>
                <w:color w:val="auto"/>
              </w:rPr>
              <w:t>10.16^</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00" w:type="dxa"/>
            <w:vAlign w:val="bottom"/>
            <w:tcBorders>
              <w:bottom w:val="single" w:sz="8" w:color="0000EE"/>
            </w:tcBorders>
            <w:gridSpan w:val="27"/>
          </w:tcPr>
          <w:p>
            <w:pPr>
              <w:spacing w:after="0" w:line="17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Exclusive License Agreement, dated November 21, 2019, by and</w:t>
              </w:r>
            </w:hyperlink>
          </w:p>
        </w:tc>
        <w:tc>
          <w:tcPr>
            <w:tcW w:w="420" w:type="dxa"/>
            <w:vAlign w:val="bottom"/>
            <w:gridSpan w:val="9"/>
          </w:tcPr>
          <w:p>
            <w:pPr>
              <w:spacing w:after="0"/>
              <w:rPr>
                <w:sz w:val="15"/>
                <w:szCs w:val="15"/>
                <w:color w:val="auto"/>
              </w:rPr>
            </w:pPr>
          </w:p>
        </w:tc>
        <w:tc>
          <w:tcPr>
            <w:tcW w:w="7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3"/>
              </w:rPr>
              <w:t>S-4/A</w:t>
            </w: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333-256875</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1"/>
              </w:rPr>
              <w:t>8/9/2021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10.13</w:t>
            </w:r>
          </w:p>
        </w:tc>
      </w:tr>
      <w:tr>
        <w:trPr>
          <w:trHeight w:val="196"/>
        </w:trPr>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between Jasper Therapeutics, Inc. and Amgen Inc.</w:t>
              </w:r>
            </w:hyperlink>
          </w:p>
        </w:tc>
        <w:tc>
          <w:tcPr>
            <w:tcW w:w="1480" w:type="dxa"/>
            <w:vAlign w:val="bottom"/>
            <w:gridSpan w:val="27"/>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60"/>
        </w:trPr>
        <w:tc>
          <w:tcPr>
            <w:tcW w:w="6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9"/>
          </w:tcPr>
          <w:p>
            <w:pPr>
              <w:jc w:val="right"/>
              <w:ind w:right="80"/>
              <w:spacing w:after="0"/>
              <w:rPr>
                <w:sz w:val="20"/>
                <w:szCs w:val="20"/>
                <w:color w:val="auto"/>
              </w:rPr>
            </w:pPr>
            <w:r>
              <w:rPr>
                <w:rFonts w:ascii="Arial" w:cs="Arial" w:eastAsia="Arial" w:hAnsi="Arial"/>
                <w:sz w:val="18"/>
                <w:szCs w:val="18"/>
                <w:color w:val="auto"/>
              </w:rPr>
              <w:t>152</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55" w:name="page156"/>
    <w:bookmarkEnd w:id="1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10.17</w:t>
            </w:r>
          </w:p>
        </w:tc>
        <w:tc>
          <w:tcPr>
            <w:tcW w:w="4980" w:type="dxa"/>
            <w:vAlign w:val="bottom"/>
            <w:gridSpan w:val="16"/>
            <w:shd w:val="clear" w:color="auto" w:fill="CCEEFF"/>
          </w:tcPr>
          <w:p>
            <w:pPr>
              <w:spacing w:after="0"/>
              <w:rPr>
                <w:rFonts w:ascii="Arial" w:cs="Arial" w:eastAsia="Arial" w:hAnsi="Arial"/>
                <w:sz w:val="18"/>
                <w:szCs w:val="18"/>
                <w:color w:val="0000EE"/>
                <w:w w:val="96"/>
              </w:rPr>
            </w:pPr>
            <w:hyperlink r:id="rId207">
              <w:r>
                <w:rPr>
                  <w:rFonts w:ascii="Arial" w:cs="Arial" w:eastAsia="Arial" w:hAnsi="Arial"/>
                  <w:sz w:val="18"/>
                  <w:szCs w:val="18"/>
                  <w:color w:val="0000EE"/>
                  <w:w w:val="96"/>
                </w:rPr>
                <w:t>Assignment Agreement, dated as of November 21, 2019, by and</w:t>
              </w:r>
            </w:hyperlink>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S-4/A</w:t>
            </w:r>
          </w:p>
        </w:tc>
        <w:tc>
          <w:tcPr>
            <w:tcW w:w="16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333-256875</w:t>
            </w:r>
          </w:p>
        </w:tc>
        <w:tc>
          <w:tcPr>
            <w:tcW w:w="1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8/9/2021</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10.14</w:t>
            </w: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64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between Jasper Therapeutics, Inc. and Amgen Inc.</w:t>
              </w:r>
            </w:hyperlink>
          </w:p>
        </w:tc>
        <w:tc>
          <w:tcPr>
            <w:tcW w:w="98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10.18^</w:t>
            </w:r>
          </w:p>
        </w:tc>
        <w:tc>
          <w:tcPr>
            <w:tcW w:w="4820" w:type="dxa"/>
            <w:vAlign w:val="bottom"/>
            <w:tcBorders>
              <w:bottom w:val="single" w:sz="8" w:color="0000EE"/>
            </w:tcBorders>
            <w:gridSpan w:val="15"/>
          </w:tcPr>
          <w:p>
            <w:pPr>
              <w:spacing w:after="0" w:line="17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Investigator Sponsored Research Agreement, Amgen Protocol No.</w:t>
              </w:r>
            </w:hyperlink>
          </w:p>
        </w:tc>
        <w:tc>
          <w:tcPr>
            <w:tcW w:w="160" w:type="dxa"/>
            <w:vAlign w:val="bottom"/>
          </w:tcPr>
          <w:p>
            <w:pPr>
              <w:spacing w:after="0"/>
              <w:rPr>
                <w:sz w:val="15"/>
                <w:szCs w:val="15"/>
                <w:color w:val="auto"/>
              </w:rPr>
            </w:pPr>
          </w:p>
        </w:tc>
        <w:tc>
          <w:tcPr>
            <w:tcW w:w="900" w:type="dxa"/>
            <w:vAlign w:val="bottom"/>
          </w:tcPr>
          <w:p>
            <w:pPr>
              <w:ind w:left="160"/>
              <w:spacing w:after="0" w:line="176" w:lineRule="exact"/>
              <w:rPr>
                <w:sz w:val="20"/>
                <w:szCs w:val="20"/>
                <w:color w:val="auto"/>
              </w:rPr>
            </w:pPr>
            <w:r>
              <w:rPr>
                <w:rFonts w:ascii="Arial" w:cs="Arial" w:eastAsia="Arial" w:hAnsi="Arial"/>
                <w:sz w:val="18"/>
                <w:szCs w:val="18"/>
                <w:color w:val="auto"/>
              </w:rPr>
              <w:t>S-4/A</w:t>
            </w:r>
          </w:p>
        </w:tc>
        <w:tc>
          <w:tcPr>
            <w:tcW w:w="166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333-256875</w:t>
            </w:r>
          </w:p>
        </w:tc>
        <w:tc>
          <w:tcPr>
            <w:tcW w:w="15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8/9/2021</w:t>
            </w:r>
          </w:p>
        </w:tc>
        <w:tc>
          <w:tcPr>
            <w:tcW w:w="10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10.15</w:t>
            </w:r>
          </w:p>
        </w:tc>
      </w:tr>
      <w:tr>
        <w:trPr>
          <w:trHeight w:val="196"/>
        </w:trPr>
        <w:tc>
          <w:tcPr>
            <w:tcW w:w="1140" w:type="dxa"/>
            <w:vAlign w:val="bottom"/>
          </w:tcPr>
          <w:p>
            <w:pPr>
              <w:spacing w:after="0"/>
              <w:rPr>
                <w:sz w:val="17"/>
                <w:szCs w:val="17"/>
                <w:color w:val="auto"/>
              </w:rPr>
            </w:pPr>
          </w:p>
        </w:tc>
        <w:tc>
          <w:tcPr>
            <w:tcW w:w="40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208">
              <w:r>
                <w:rPr>
                  <w:rFonts w:ascii="Arial" w:cs="Arial" w:eastAsia="Arial" w:hAnsi="Arial"/>
                  <w:sz w:val="18"/>
                  <w:szCs w:val="18"/>
                  <w:color w:val="0000EE"/>
                  <w:w w:val="88"/>
                </w:rPr>
                <w:t>20119244, effective as of June 18, 2013, between Jasper</w:t>
              </w:r>
            </w:hyperlink>
          </w:p>
        </w:tc>
        <w:tc>
          <w:tcPr>
            <w:tcW w:w="92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80" w:type="dxa"/>
            <w:vAlign w:val="bottom"/>
            <w:gridSpan w:val="16"/>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Therapeutics, Inc., as successor in interest to Amgen Inc., and The</w:t>
              </w:r>
            </w:hyperlink>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78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r:id="rId208">
              <w:r>
                <w:rPr>
                  <w:rFonts w:ascii="Arial" w:cs="Arial" w:eastAsia="Arial" w:hAnsi="Arial"/>
                  <w:sz w:val="18"/>
                  <w:szCs w:val="18"/>
                  <w:color w:val="0000EE"/>
                  <w:w w:val="97"/>
                </w:rPr>
                <w:t>Board of Trustees of the Leland Stanford Junior University for</w:t>
              </w:r>
            </w:hyperlink>
          </w:p>
        </w:tc>
        <w:tc>
          <w:tcPr>
            <w:tcW w:w="20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5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08">
              <w:r>
                <w:rPr>
                  <w:rFonts w:ascii="Arial" w:cs="Arial" w:eastAsia="Arial" w:hAnsi="Arial"/>
                  <w:sz w:val="18"/>
                  <w:szCs w:val="18"/>
                  <w:color w:val="0000EE"/>
                </w:rPr>
                <w:t>Stanford University.</w:t>
              </w:r>
            </w:hyperlink>
          </w:p>
        </w:tc>
        <w:tc>
          <w:tcPr>
            <w:tcW w:w="48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39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Amendment #1 to the Investigator Sponsored Research</w:t>
              </w:r>
            </w:hyperlink>
          </w:p>
        </w:tc>
        <w:tc>
          <w:tcPr>
            <w:tcW w:w="1000" w:type="dxa"/>
            <w:vAlign w:val="bottom"/>
            <w:tcBorders>
              <w:bottom w:val="single" w:sz="8" w:color="CCEEFF"/>
            </w:tcBorders>
            <w:gridSpan w:val="11"/>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S-4/A</w:t>
            </w:r>
          </w:p>
        </w:tc>
        <w:tc>
          <w:tcPr>
            <w:tcW w:w="1660" w:type="dxa"/>
            <w:vAlign w:val="bottom"/>
            <w:tcBorders>
              <w:bottom w:val="single" w:sz="8" w:color="CCEEFF"/>
            </w:tcBorders>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333-256875</w:t>
            </w:r>
          </w:p>
        </w:tc>
        <w:tc>
          <w:tcPr>
            <w:tcW w:w="15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8/9/2021</w:t>
            </w:r>
          </w:p>
        </w:tc>
        <w:tc>
          <w:tcPr>
            <w:tcW w:w="10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10.16</w:t>
            </w:r>
          </w:p>
        </w:tc>
      </w:tr>
      <w:tr>
        <w:trPr>
          <w:trHeight w:val="196"/>
        </w:trPr>
        <w:tc>
          <w:tcPr>
            <w:tcW w:w="1140" w:type="dxa"/>
            <w:vAlign w:val="bottom"/>
            <w:shd w:val="clear" w:color="auto" w:fill="CCEEFF"/>
          </w:tcPr>
          <w:p>
            <w:pPr>
              <w:spacing w:after="0"/>
              <w:rPr>
                <w:sz w:val="17"/>
                <w:szCs w:val="17"/>
                <w:color w:val="auto"/>
              </w:rPr>
            </w:pPr>
          </w:p>
        </w:tc>
        <w:tc>
          <w:tcPr>
            <w:tcW w:w="4980" w:type="dxa"/>
            <w:vAlign w:val="bottom"/>
            <w:gridSpan w:val="16"/>
            <w:shd w:val="clear" w:color="auto" w:fill="CCEEFF"/>
          </w:tcPr>
          <w:p>
            <w:pPr>
              <w:spacing w:after="0" w:line="196" w:lineRule="exact"/>
              <w:rPr>
                <w:rFonts w:ascii="Arial" w:cs="Arial" w:eastAsia="Arial" w:hAnsi="Arial"/>
                <w:sz w:val="18"/>
                <w:szCs w:val="18"/>
                <w:color w:val="0000EE"/>
                <w:w w:val="97"/>
              </w:rPr>
            </w:pPr>
            <w:hyperlink r:id="rId209">
              <w:r>
                <w:rPr>
                  <w:rFonts w:ascii="Arial" w:cs="Arial" w:eastAsia="Arial" w:hAnsi="Arial"/>
                  <w:sz w:val="18"/>
                  <w:szCs w:val="18"/>
                  <w:color w:val="0000EE"/>
                  <w:w w:val="97"/>
                </w:rPr>
                <w:t>Agreement, Amgen Protocol No. 20119244, dated February 27,</w:t>
              </w:r>
            </w:hyperlink>
          </w:p>
        </w:tc>
        <w:tc>
          <w:tcPr>
            <w:tcW w:w="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82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88"/>
              </w:rPr>
            </w:pPr>
            <w:hyperlink r:id="rId209">
              <w:r>
                <w:rPr>
                  <w:rFonts w:ascii="Arial" w:cs="Arial" w:eastAsia="Arial" w:hAnsi="Arial"/>
                  <w:sz w:val="18"/>
                  <w:szCs w:val="18"/>
                  <w:color w:val="0000EE"/>
                  <w:w w:val="88"/>
                </w:rPr>
                <w:t>2017, between Jasper Therapeutics, Inc., as successor in interest to</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4980" w:type="dxa"/>
            <w:vAlign w:val="bottom"/>
            <w:gridSpan w:val="16"/>
            <w:shd w:val="clear" w:color="auto" w:fill="CCEEFF"/>
          </w:tcPr>
          <w:p>
            <w:pPr>
              <w:spacing w:after="0" w:line="196"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Amgen Inc., and The Board of Trustees of the Leland Stanford</w:t>
              </w:r>
            </w:hyperlink>
          </w:p>
        </w:tc>
        <w:tc>
          <w:tcPr>
            <w:tcW w:w="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2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3"/>
              </w:rPr>
            </w:pPr>
            <w:hyperlink r:id="rId209">
              <w:r>
                <w:rPr>
                  <w:rFonts w:ascii="Arial" w:cs="Arial" w:eastAsia="Arial" w:hAnsi="Arial"/>
                  <w:sz w:val="18"/>
                  <w:szCs w:val="18"/>
                  <w:color w:val="0000EE"/>
                  <w:w w:val="93"/>
                </w:rPr>
                <w:t>Junior University for Stanford University.</w:t>
              </w:r>
            </w:hyperlink>
          </w:p>
        </w:tc>
        <w:tc>
          <w:tcPr>
            <w:tcW w:w="1560" w:type="dxa"/>
            <w:vAlign w:val="bottom"/>
            <w:tcBorders>
              <w:top w:val="single" w:sz="8" w:color="0000EE"/>
              <w:bottom w:val="single" w:sz="8" w:color="CCEEFF"/>
              <w:right w:val="single" w:sz="8" w:color="CCEEFF"/>
            </w:tcBorders>
            <w:gridSpan w:val="5"/>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8"/>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10.20^</w:t>
            </w:r>
          </w:p>
        </w:tc>
        <w:tc>
          <w:tcPr>
            <w:tcW w:w="3980" w:type="dxa"/>
            <w:vAlign w:val="bottom"/>
            <w:tcBorders>
              <w:bottom w:val="single" w:sz="8" w:color="0000EE"/>
            </w:tcBorders>
            <w:gridSpan w:val="5"/>
          </w:tcPr>
          <w:p>
            <w:pPr>
              <w:spacing w:after="0" w:line="17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Amendment #2 to the Investigator Sponsored Research</w:t>
              </w:r>
            </w:hyperlink>
          </w:p>
        </w:tc>
        <w:tc>
          <w:tcPr>
            <w:tcW w:w="1000" w:type="dxa"/>
            <w:vAlign w:val="bottom"/>
            <w:gridSpan w:val="11"/>
          </w:tcPr>
          <w:p>
            <w:pPr>
              <w:spacing w:after="0"/>
              <w:rPr>
                <w:sz w:val="15"/>
                <w:szCs w:val="15"/>
                <w:color w:val="auto"/>
              </w:rPr>
            </w:pPr>
          </w:p>
        </w:tc>
        <w:tc>
          <w:tcPr>
            <w:tcW w:w="900" w:type="dxa"/>
            <w:vAlign w:val="bottom"/>
          </w:tcPr>
          <w:p>
            <w:pPr>
              <w:ind w:left="160"/>
              <w:spacing w:after="0" w:line="176" w:lineRule="exact"/>
              <w:rPr>
                <w:sz w:val="20"/>
                <w:szCs w:val="20"/>
                <w:color w:val="auto"/>
              </w:rPr>
            </w:pPr>
            <w:r>
              <w:rPr>
                <w:rFonts w:ascii="Arial" w:cs="Arial" w:eastAsia="Arial" w:hAnsi="Arial"/>
                <w:sz w:val="18"/>
                <w:szCs w:val="18"/>
                <w:color w:val="auto"/>
              </w:rPr>
              <w:t>S-4/A</w:t>
            </w:r>
          </w:p>
        </w:tc>
        <w:tc>
          <w:tcPr>
            <w:tcW w:w="166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333-256875</w:t>
            </w:r>
          </w:p>
        </w:tc>
        <w:tc>
          <w:tcPr>
            <w:tcW w:w="15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8/9/2021</w:t>
            </w:r>
          </w:p>
        </w:tc>
        <w:tc>
          <w:tcPr>
            <w:tcW w:w="10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10.17</w:t>
            </w:r>
          </w:p>
        </w:tc>
      </w:tr>
      <w:tr>
        <w:trPr>
          <w:trHeight w:val="196"/>
        </w:trPr>
        <w:tc>
          <w:tcPr>
            <w:tcW w:w="1140" w:type="dxa"/>
            <w:vAlign w:val="bottom"/>
          </w:tcPr>
          <w:p>
            <w:pPr>
              <w:spacing w:after="0"/>
              <w:rPr>
                <w:sz w:val="17"/>
                <w:szCs w:val="17"/>
                <w:color w:val="auto"/>
              </w:rPr>
            </w:pPr>
          </w:p>
        </w:tc>
        <w:tc>
          <w:tcPr>
            <w:tcW w:w="4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10">
              <w:r>
                <w:rPr>
                  <w:rFonts w:ascii="Arial" w:cs="Arial" w:eastAsia="Arial" w:hAnsi="Arial"/>
                  <w:sz w:val="18"/>
                  <w:szCs w:val="18"/>
                  <w:color w:val="0000EE"/>
                  <w:w w:val="91"/>
                </w:rPr>
                <w:t>Agreement, Amgen Protocol No. 20119244, dated November 15,</w:t>
              </w:r>
            </w:hyperlink>
          </w:p>
        </w:tc>
        <w:tc>
          <w:tcPr>
            <w:tcW w:w="24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8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210">
              <w:r>
                <w:rPr>
                  <w:rFonts w:ascii="Arial" w:cs="Arial" w:eastAsia="Arial" w:hAnsi="Arial"/>
                  <w:sz w:val="18"/>
                  <w:szCs w:val="18"/>
                  <w:color w:val="0000EE"/>
                  <w:w w:val="88"/>
                </w:rPr>
                <w:t>2017, between Jasper Therapeutics, Inc., as successor in interest to</w:t>
              </w:r>
            </w:hyperlink>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80" w:type="dxa"/>
            <w:vAlign w:val="bottom"/>
            <w:gridSpan w:val="16"/>
          </w:tcPr>
          <w:p>
            <w:pPr>
              <w:spacing w:after="0" w:line="196" w:lineRule="exact"/>
              <w:rPr>
                <w:rFonts w:ascii="Arial" w:cs="Arial" w:eastAsia="Arial" w:hAnsi="Arial"/>
                <w:sz w:val="18"/>
                <w:szCs w:val="18"/>
                <w:color w:val="0000EE"/>
                <w:w w:val="99"/>
              </w:rPr>
            </w:pPr>
            <w:hyperlink r:id="rId210">
              <w:r>
                <w:rPr>
                  <w:rFonts w:ascii="Arial" w:cs="Arial" w:eastAsia="Arial" w:hAnsi="Arial"/>
                  <w:sz w:val="18"/>
                  <w:szCs w:val="18"/>
                  <w:color w:val="0000EE"/>
                  <w:w w:val="99"/>
                </w:rPr>
                <w:t>Amgen Inc., and The Board of Trustees of the Leland Stanford</w:t>
              </w:r>
            </w:hyperlink>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5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Junior University for Stanford University.</w:t>
              </w:r>
            </w:hyperlink>
          </w:p>
        </w:tc>
        <w:tc>
          <w:tcPr>
            <w:tcW w:w="4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48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Quality Agreement, dated October 7, 2015, by and between Jasper</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S-4/A</w:t>
            </w:r>
          </w:p>
        </w:tc>
        <w:tc>
          <w:tcPr>
            <w:tcW w:w="1660" w:type="dxa"/>
            <w:vAlign w:val="bottom"/>
            <w:tcBorders>
              <w:bottom w:val="single" w:sz="8" w:color="CCEEFF"/>
            </w:tcBorders>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333-256875</w:t>
            </w:r>
          </w:p>
        </w:tc>
        <w:tc>
          <w:tcPr>
            <w:tcW w:w="15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8/9/2021</w:t>
            </w:r>
          </w:p>
        </w:tc>
        <w:tc>
          <w:tcPr>
            <w:tcW w:w="10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10.18</w:t>
            </w:r>
          </w:p>
        </w:tc>
      </w:tr>
      <w:tr>
        <w:trPr>
          <w:trHeight w:val="196"/>
        </w:trPr>
        <w:tc>
          <w:tcPr>
            <w:tcW w:w="1140" w:type="dxa"/>
            <w:vAlign w:val="bottom"/>
            <w:shd w:val="clear" w:color="auto" w:fill="CCEEFF"/>
          </w:tcPr>
          <w:p>
            <w:pPr>
              <w:spacing w:after="0"/>
              <w:rPr>
                <w:sz w:val="17"/>
                <w:szCs w:val="17"/>
                <w:color w:val="auto"/>
              </w:rPr>
            </w:pPr>
          </w:p>
        </w:tc>
        <w:tc>
          <w:tcPr>
            <w:tcW w:w="4980" w:type="dxa"/>
            <w:vAlign w:val="bottom"/>
            <w:gridSpan w:val="16"/>
            <w:shd w:val="clear" w:color="auto" w:fill="CCEEFF"/>
          </w:tcPr>
          <w:p>
            <w:pPr>
              <w:spacing w:after="0" w:line="196" w:lineRule="exact"/>
              <w:rPr>
                <w:rFonts w:ascii="Arial" w:cs="Arial" w:eastAsia="Arial" w:hAnsi="Arial"/>
                <w:sz w:val="18"/>
                <w:szCs w:val="18"/>
                <w:color w:val="0000EE"/>
                <w:w w:val="93"/>
              </w:rPr>
            </w:pPr>
            <w:hyperlink r:id="rId211">
              <w:r>
                <w:rPr>
                  <w:rFonts w:ascii="Arial" w:cs="Arial" w:eastAsia="Arial" w:hAnsi="Arial"/>
                  <w:sz w:val="18"/>
                  <w:szCs w:val="18"/>
                  <w:color w:val="0000EE"/>
                  <w:w w:val="93"/>
                </w:rPr>
                <w:t>Therapeutics, Inc., as successor in interest to Amgen Inc., and The</w:t>
              </w:r>
            </w:hyperlink>
          </w:p>
        </w:tc>
        <w:tc>
          <w:tcPr>
            <w:tcW w:w="9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478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w w:val="97"/>
              </w:rPr>
            </w:pPr>
            <w:hyperlink r:id="rId211">
              <w:r>
                <w:rPr>
                  <w:rFonts w:ascii="Arial" w:cs="Arial" w:eastAsia="Arial" w:hAnsi="Arial"/>
                  <w:sz w:val="18"/>
                  <w:szCs w:val="18"/>
                  <w:color w:val="0000EE"/>
                  <w:w w:val="97"/>
                </w:rPr>
                <w:t>Board of Trustees of the Leland Stanford Junior University for</w:t>
              </w:r>
            </w:hyperlink>
          </w:p>
        </w:tc>
        <w:tc>
          <w:tcPr>
            <w:tcW w:w="200" w:type="dxa"/>
            <w:vAlign w:val="bottom"/>
            <w:tcBorders>
              <w:top w:val="single" w:sz="8" w:color="CCEEFF"/>
            </w:tcBorders>
            <w:gridSpan w:val="3"/>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1"/>
              </w:rPr>
            </w:pPr>
            <w:hyperlink r:id="rId211">
              <w:r>
                <w:rPr>
                  <w:rFonts w:ascii="Arial" w:cs="Arial" w:eastAsia="Arial" w:hAnsi="Arial"/>
                  <w:sz w:val="18"/>
                  <w:szCs w:val="18"/>
                  <w:color w:val="0000EE"/>
                  <w:w w:val="91"/>
                </w:rPr>
                <w:t>Stanford University.</w:t>
              </w:r>
            </w:hyperlink>
          </w:p>
        </w:tc>
        <w:tc>
          <w:tcPr>
            <w:tcW w:w="304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48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10.22^</w:t>
            </w:r>
          </w:p>
        </w:tc>
        <w:tc>
          <w:tcPr>
            <w:tcW w:w="4740" w:type="dxa"/>
            <w:vAlign w:val="bottom"/>
            <w:tcBorders>
              <w:bottom w:val="single" w:sz="8" w:color="0000EE"/>
            </w:tcBorders>
            <w:gridSpan w:val="12"/>
          </w:tcPr>
          <w:p>
            <w:pPr>
              <w:spacing w:after="0" w:line="176" w:lineRule="exact"/>
              <w:rPr>
                <w:rFonts w:ascii="Arial" w:cs="Arial" w:eastAsia="Arial" w:hAnsi="Arial"/>
                <w:sz w:val="18"/>
                <w:szCs w:val="18"/>
                <w:color w:val="0000EE"/>
                <w:w w:val="91"/>
              </w:rPr>
            </w:pPr>
            <w:hyperlink r:id="rId212">
              <w:r>
                <w:rPr>
                  <w:rFonts w:ascii="Arial" w:cs="Arial" w:eastAsia="Arial" w:hAnsi="Arial"/>
                  <w:sz w:val="18"/>
                  <w:szCs w:val="18"/>
                  <w:color w:val="0000EE"/>
                  <w:w w:val="91"/>
                </w:rPr>
                <w:t>Exclusive License Agreement, effective as of March 25, 2021, by</w:t>
              </w:r>
            </w:hyperlink>
          </w:p>
        </w:tc>
        <w:tc>
          <w:tcPr>
            <w:tcW w:w="240" w:type="dxa"/>
            <w:vAlign w:val="bottom"/>
            <w:gridSpan w:val="4"/>
          </w:tcPr>
          <w:p>
            <w:pPr>
              <w:spacing w:after="0"/>
              <w:rPr>
                <w:sz w:val="15"/>
                <w:szCs w:val="15"/>
                <w:color w:val="auto"/>
              </w:rPr>
            </w:pPr>
          </w:p>
        </w:tc>
        <w:tc>
          <w:tcPr>
            <w:tcW w:w="900" w:type="dxa"/>
            <w:vAlign w:val="bottom"/>
          </w:tcPr>
          <w:p>
            <w:pPr>
              <w:ind w:left="160"/>
              <w:spacing w:after="0" w:line="176" w:lineRule="exact"/>
              <w:rPr>
                <w:sz w:val="20"/>
                <w:szCs w:val="20"/>
                <w:color w:val="auto"/>
              </w:rPr>
            </w:pPr>
            <w:r>
              <w:rPr>
                <w:rFonts w:ascii="Arial" w:cs="Arial" w:eastAsia="Arial" w:hAnsi="Arial"/>
                <w:sz w:val="18"/>
                <w:szCs w:val="18"/>
                <w:color w:val="auto"/>
              </w:rPr>
              <w:t>S-4/A</w:t>
            </w:r>
          </w:p>
        </w:tc>
        <w:tc>
          <w:tcPr>
            <w:tcW w:w="166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333-256875</w:t>
            </w:r>
          </w:p>
        </w:tc>
        <w:tc>
          <w:tcPr>
            <w:tcW w:w="150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8/9/2021</w:t>
            </w:r>
          </w:p>
        </w:tc>
        <w:tc>
          <w:tcPr>
            <w:tcW w:w="106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10.19</w:t>
            </w:r>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r:id="rId212">
              <w:r>
                <w:rPr>
                  <w:rFonts w:ascii="Arial" w:cs="Arial" w:eastAsia="Arial" w:hAnsi="Arial"/>
                  <w:sz w:val="18"/>
                  <w:szCs w:val="18"/>
                  <w:color w:val="0000EE"/>
                  <w:w w:val="88"/>
                </w:rPr>
                <w:t>and between Jasper Therapeutics, Inc. and The Board of Trustees</w:t>
              </w:r>
            </w:hyperlink>
          </w:p>
        </w:tc>
        <w:tc>
          <w:tcPr>
            <w:tcW w:w="26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80" w:type="dxa"/>
            <w:vAlign w:val="bottom"/>
            <w:gridSpan w:val="16"/>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of the Leland Stanford Junior University.</w:t>
              </w:r>
            </w:hyperlink>
          </w:p>
        </w:tc>
        <w:tc>
          <w:tcPr>
            <w:tcW w:w="9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10.23^</w:t>
            </w:r>
          </w:p>
        </w:tc>
        <w:tc>
          <w:tcPr>
            <w:tcW w:w="47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Sponsored Research Agreement, effective September 1, 2020, by</w:t>
              </w:r>
            </w:hyperlink>
          </w:p>
        </w:tc>
        <w:tc>
          <w:tcPr>
            <w:tcW w:w="280" w:type="dxa"/>
            <w:vAlign w:val="bottom"/>
            <w:tcBorders>
              <w:bottom w:val="single" w:sz="8" w:color="CCEEFF"/>
            </w:tcBorders>
            <w:gridSpan w:val="6"/>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S-4/A</w:t>
            </w:r>
          </w:p>
        </w:tc>
        <w:tc>
          <w:tcPr>
            <w:tcW w:w="1660" w:type="dxa"/>
            <w:vAlign w:val="bottom"/>
            <w:tcBorders>
              <w:bottom w:val="single" w:sz="8" w:color="CCEEFF"/>
            </w:tcBorders>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333-256875</w:t>
            </w:r>
          </w:p>
        </w:tc>
        <w:tc>
          <w:tcPr>
            <w:tcW w:w="1500" w:type="dxa"/>
            <w:vAlign w:val="bottom"/>
            <w:tcBorders>
              <w:bottom w:val="single" w:sz="8" w:color="CCEEFF"/>
            </w:tcBorders>
            <w:shd w:val="clear" w:color="auto" w:fill="CCEEFF"/>
          </w:tcPr>
          <w:p>
            <w:pPr>
              <w:jc w:val="right"/>
              <w:ind w:right="310"/>
              <w:spacing w:after="0" w:line="176" w:lineRule="exact"/>
              <w:rPr>
                <w:sz w:val="20"/>
                <w:szCs w:val="20"/>
                <w:color w:val="auto"/>
              </w:rPr>
            </w:pPr>
            <w:r>
              <w:rPr>
                <w:rFonts w:ascii="Arial" w:cs="Arial" w:eastAsia="Arial" w:hAnsi="Arial"/>
                <w:sz w:val="18"/>
                <w:szCs w:val="18"/>
                <w:color w:val="auto"/>
              </w:rPr>
              <w:t>8/9/2021</w:t>
            </w:r>
          </w:p>
        </w:tc>
        <w:tc>
          <w:tcPr>
            <w:tcW w:w="106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10.20</w:t>
            </w: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72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and between Jasper Therapeutics, Inc. and The Board of Trustees</w:t>
              </w:r>
            </w:hyperlink>
          </w:p>
        </w:tc>
        <w:tc>
          <w:tcPr>
            <w:tcW w:w="26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96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of the Leland Stanford Junior University.</w:t>
              </w:r>
            </w:hyperlink>
          </w:p>
        </w:tc>
        <w:tc>
          <w:tcPr>
            <w:tcW w:w="2020" w:type="dxa"/>
            <w:vAlign w:val="bottom"/>
            <w:tcBorders>
              <w:bottom w:val="single" w:sz="8" w:color="CCEEFF"/>
            </w:tcBorders>
            <w:gridSpan w:val="14"/>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439"/>
        </w:trPr>
        <w:tc>
          <w:tcPr>
            <w:tcW w:w="11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9"/>
          </w:tcPr>
          <w:p>
            <w:pPr>
              <w:ind w:left="4340"/>
              <w:spacing w:after="0"/>
              <w:rPr>
                <w:sz w:val="20"/>
                <w:szCs w:val="20"/>
                <w:color w:val="auto"/>
              </w:rPr>
            </w:pPr>
            <w:r>
              <w:rPr>
                <w:rFonts w:ascii="Arial" w:cs="Arial" w:eastAsia="Arial" w:hAnsi="Arial"/>
                <w:sz w:val="18"/>
                <w:szCs w:val="18"/>
                <w:color w:val="auto"/>
                <w:w w:val="86"/>
              </w:rPr>
              <w:t>153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10.24^</w:t>
            </w:r>
          </w:p>
        </w:tc>
        <w:tc>
          <w:tcPr>
            <w:tcW w:w="4980" w:type="dxa"/>
            <w:vAlign w:val="bottom"/>
            <w:gridSpan w:val="9"/>
            <w:shd w:val="clear" w:color="auto" w:fill="CCEEFF"/>
          </w:tcPr>
          <w:p>
            <w:pPr>
              <w:spacing w:after="0"/>
              <w:rPr>
                <w:rFonts w:ascii="Arial" w:cs="Arial" w:eastAsia="Arial" w:hAnsi="Arial"/>
                <w:sz w:val="18"/>
                <w:szCs w:val="18"/>
                <w:color w:val="0000EE"/>
              </w:rPr>
            </w:pPr>
            <w:hyperlink r:id="rId214">
              <w:r>
                <w:rPr>
                  <w:rFonts w:ascii="Arial" w:cs="Arial" w:eastAsia="Arial" w:hAnsi="Arial"/>
                  <w:sz w:val="18"/>
                  <w:szCs w:val="18"/>
                  <w:color w:val="0000EE"/>
                </w:rPr>
                <w:t>Development and Manufacturing Services Agreement, dated</w:t>
              </w:r>
            </w:hyperlink>
          </w:p>
        </w:tc>
        <w:tc>
          <w:tcPr>
            <w:tcW w:w="9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S-4/A</w:t>
            </w:r>
          </w:p>
        </w:tc>
        <w:tc>
          <w:tcPr>
            <w:tcW w:w="1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333-256875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8/20/2021</w:t>
            </w:r>
          </w:p>
        </w:tc>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10.25</w:t>
            </w:r>
          </w:p>
        </w:tc>
      </w:tr>
      <w:tr>
        <w:trPr>
          <w:trHeight w:val="20"/>
        </w:trPr>
        <w:tc>
          <w:tcPr>
            <w:tcW w:w="114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8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November 29, 2019, by and between Jasper Therapeutics, Inc. and</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4980" w:type="dxa"/>
            <w:vAlign w:val="bottom"/>
            <w:gridSpan w:val="9"/>
            <w:shd w:val="clear" w:color="auto" w:fill="CCEEFF"/>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Lonza Sales AG.</w:t>
              </w:r>
            </w:hyperlink>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10.25^</w:t>
            </w:r>
          </w:p>
        </w:tc>
        <w:tc>
          <w:tcPr>
            <w:tcW w:w="4980" w:type="dxa"/>
            <w:vAlign w:val="bottom"/>
            <w:gridSpan w:val="9"/>
          </w:tcPr>
          <w:p>
            <w:pPr>
              <w:spacing w:after="0" w:line="176" w:lineRule="exact"/>
              <w:rPr>
                <w:rFonts w:ascii="Arial" w:cs="Arial" w:eastAsia="Arial" w:hAnsi="Arial"/>
                <w:sz w:val="18"/>
                <w:szCs w:val="18"/>
                <w:color w:val="0000EE"/>
                <w:w w:val="98"/>
              </w:rPr>
            </w:pPr>
            <w:hyperlink r:id="rId215">
              <w:r>
                <w:rPr>
                  <w:rFonts w:ascii="Arial" w:cs="Arial" w:eastAsia="Arial" w:hAnsi="Arial"/>
                  <w:sz w:val="18"/>
                  <w:szCs w:val="18"/>
                  <w:color w:val="0000EE"/>
                  <w:w w:val="98"/>
                </w:rPr>
                <w:t>Amendment No. 1 to Development and Manufacturing Services</w:t>
              </w:r>
            </w:hyperlink>
          </w:p>
        </w:tc>
        <w:tc>
          <w:tcPr>
            <w:tcW w:w="9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3"/>
              </w:rPr>
              <w:t>S-4/A</w:t>
            </w:r>
          </w:p>
        </w:tc>
        <w:tc>
          <w:tcPr>
            <w:tcW w:w="162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333-256875</w:t>
            </w: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9"/>
              </w:rPr>
              <w:t>8/20/2021</w:t>
            </w:r>
          </w:p>
        </w:tc>
        <w:tc>
          <w:tcPr>
            <w:tcW w:w="1020" w:type="dxa"/>
            <w:vAlign w:val="bottom"/>
          </w:tcPr>
          <w:p>
            <w:pPr>
              <w:jc w:val="center"/>
              <w:ind w:left="50"/>
              <w:spacing w:after="0" w:line="176" w:lineRule="exact"/>
              <w:rPr>
                <w:sz w:val="20"/>
                <w:szCs w:val="20"/>
                <w:color w:val="auto"/>
              </w:rPr>
            </w:pPr>
            <w:r>
              <w:rPr>
                <w:rFonts w:ascii="Arial" w:cs="Arial" w:eastAsia="Arial" w:hAnsi="Arial"/>
                <w:sz w:val="18"/>
                <w:szCs w:val="18"/>
                <w:color w:val="auto"/>
                <w:w w:val="88"/>
              </w:rPr>
              <w:t>10.26</w:t>
            </w:r>
          </w:p>
        </w:tc>
      </w:tr>
      <w:tr>
        <w:trPr>
          <w:trHeight w:val="196"/>
        </w:trPr>
        <w:tc>
          <w:tcPr>
            <w:tcW w:w="114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Agreement, executed April 24, 2020 by and between Jasper</w:t>
              </w:r>
            </w:hyperlink>
          </w:p>
        </w:tc>
        <w:tc>
          <w:tcPr>
            <w:tcW w:w="280" w:type="dxa"/>
            <w:vAlign w:val="bottom"/>
            <w:tcBorders>
              <w:top w:val="single" w:sz="8" w:color="0000EE"/>
            </w:tcBorders>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980" w:type="dxa"/>
            <w:vAlign w:val="bottom"/>
            <w:gridSpan w:val="9"/>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Therapeutics, Inc. and Lonza Sales AG.</w:t>
              </w:r>
            </w:hyperlink>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4980" w:type="dxa"/>
            <w:vAlign w:val="bottom"/>
            <w:gridSpan w:val="9"/>
            <w:shd w:val="clear" w:color="auto" w:fill="CCEEFF"/>
          </w:tcPr>
          <w:p>
            <w:pPr>
              <w:spacing w:after="0" w:line="176" w:lineRule="exact"/>
              <w:rPr>
                <w:rFonts w:ascii="Arial" w:cs="Arial" w:eastAsia="Arial" w:hAnsi="Arial"/>
                <w:sz w:val="18"/>
                <w:szCs w:val="18"/>
                <w:color w:val="0000EE"/>
                <w:w w:val="98"/>
              </w:rPr>
            </w:pPr>
            <w:hyperlink r:id="rId216">
              <w:r>
                <w:rPr>
                  <w:rFonts w:ascii="Arial" w:cs="Arial" w:eastAsia="Arial" w:hAnsi="Arial"/>
                  <w:sz w:val="18"/>
                  <w:szCs w:val="18"/>
                  <w:color w:val="0000EE"/>
                  <w:w w:val="98"/>
                </w:rPr>
                <w:t>Amendment No. 2 to Development and Manufacturing Services</w:t>
              </w:r>
            </w:hyperlink>
          </w:p>
        </w:tc>
        <w:tc>
          <w:tcPr>
            <w:tcW w:w="900" w:type="dxa"/>
            <w:vAlign w:val="bottom"/>
            <w:shd w:val="clear" w:color="auto" w:fill="CCEEFF"/>
          </w:tcPr>
          <w:p>
            <w:pPr>
              <w:jc w:val="center"/>
              <w:ind w:right="70"/>
              <w:spacing w:after="0" w:line="176" w:lineRule="exact"/>
              <w:rPr>
                <w:sz w:val="20"/>
                <w:szCs w:val="20"/>
                <w:color w:val="auto"/>
              </w:rPr>
            </w:pPr>
            <w:r>
              <w:rPr>
                <w:rFonts w:ascii="Arial" w:cs="Arial" w:eastAsia="Arial" w:hAnsi="Arial"/>
                <w:sz w:val="18"/>
                <w:szCs w:val="18"/>
                <w:color w:val="auto"/>
                <w:w w:val="93"/>
              </w:rPr>
              <w:t>S-4/A</w:t>
            </w:r>
          </w:p>
        </w:tc>
        <w:tc>
          <w:tcPr>
            <w:tcW w:w="162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1"/>
              </w:rPr>
              <w:t>333-256875</w:t>
            </w: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8/20/2021</w:t>
            </w:r>
          </w:p>
        </w:tc>
        <w:tc>
          <w:tcPr>
            <w:tcW w:w="102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88"/>
              </w:rPr>
              <w:t>10.27</w:t>
            </w:r>
          </w:p>
        </w:tc>
      </w:tr>
      <w:tr>
        <w:trPr>
          <w:trHeight w:val="20"/>
        </w:trPr>
        <w:tc>
          <w:tcPr>
            <w:tcW w:w="1140" w:type="dxa"/>
            <w:vAlign w:val="bottom"/>
            <w:shd w:val="clear" w:color="auto" w:fill="CCEEFF"/>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7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4680" w:type="dxa"/>
            <w:vAlign w:val="bottom"/>
            <w:tcBorders>
              <w:bottom w:val="single" w:sz="8" w:color="0000EE"/>
              <w:right w:val="single" w:sz="8" w:color="CCEEFF"/>
            </w:tcBorders>
            <w:gridSpan w:val="7"/>
            <w:shd w:val="clear" w:color="auto" w:fill="CCEEFF"/>
          </w:tcPr>
          <w:p>
            <w:pPr>
              <w:spacing w:after="0" w:line="196" w:lineRule="exact"/>
              <w:rPr>
                <w:rFonts w:ascii="Arial" w:cs="Arial" w:eastAsia="Arial" w:hAnsi="Arial"/>
                <w:sz w:val="18"/>
                <w:szCs w:val="18"/>
                <w:color w:val="0000EE"/>
                <w:w w:val="89"/>
              </w:rPr>
            </w:pPr>
            <w:hyperlink r:id="rId216">
              <w:r>
                <w:rPr>
                  <w:rFonts w:ascii="Arial" w:cs="Arial" w:eastAsia="Arial" w:hAnsi="Arial"/>
                  <w:sz w:val="18"/>
                  <w:szCs w:val="18"/>
                  <w:color w:val="0000EE"/>
                  <w:w w:val="89"/>
                </w:rPr>
                <w:t>Agreement, executed December 1, 2020, by and between Jasper</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4980" w:type="dxa"/>
            <w:vAlign w:val="bottom"/>
            <w:gridSpan w:val="9"/>
            <w:shd w:val="clear" w:color="auto" w:fill="CCEEFF"/>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Therapeutics, Inc. and Lonza Sales AG.</w:t>
              </w:r>
            </w:hyperlink>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10.27#</w:t>
            </w:r>
          </w:p>
        </w:tc>
        <w:tc>
          <w:tcPr>
            <w:tcW w:w="4980" w:type="dxa"/>
            <w:vAlign w:val="bottom"/>
            <w:gridSpan w:val="9"/>
          </w:tcPr>
          <w:p>
            <w:pPr>
              <w:spacing w:after="0" w:line="176" w:lineRule="exact"/>
              <w:rPr>
                <w:rFonts w:ascii="Arial" w:cs="Arial" w:eastAsia="Arial" w:hAnsi="Arial"/>
                <w:sz w:val="18"/>
                <w:szCs w:val="18"/>
                <w:color w:val="0000EE"/>
                <w:w w:val="96"/>
              </w:rPr>
            </w:pPr>
            <w:hyperlink r:id="rId217">
              <w:r>
                <w:rPr>
                  <w:rFonts w:ascii="Arial" w:cs="Arial" w:eastAsia="Arial" w:hAnsi="Arial"/>
                  <w:sz w:val="18"/>
                  <w:szCs w:val="18"/>
                  <w:color w:val="0000EE"/>
                  <w:w w:val="96"/>
                </w:rPr>
                <w:t>Jasper Therapeutics, Inc. Non-Employee Director Compensation</w:t>
              </w:r>
            </w:hyperlink>
          </w:p>
        </w:tc>
        <w:tc>
          <w:tcPr>
            <w:tcW w:w="90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9"/>
              </w:rPr>
              <w:t>8-K</w:t>
            </w:r>
          </w:p>
        </w:tc>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90"/>
              </w:rPr>
              <w:t>10/29/2021</w:t>
            </w:r>
          </w:p>
        </w:tc>
        <w:tc>
          <w:tcPr>
            <w:tcW w:w="1020" w:type="dxa"/>
            <w:vAlign w:val="bottom"/>
          </w:tcPr>
          <w:p>
            <w:pPr>
              <w:jc w:val="center"/>
              <w:ind w:left="50"/>
              <w:spacing w:after="0" w:line="176" w:lineRule="exact"/>
              <w:rPr>
                <w:sz w:val="20"/>
                <w:szCs w:val="20"/>
                <w:color w:val="auto"/>
              </w:rPr>
            </w:pPr>
            <w:r>
              <w:rPr>
                <w:rFonts w:ascii="Arial" w:cs="Arial" w:eastAsia="Arial" w:hAnsi="Arial"/>
                <w:sz w:val="18"/>
                <w:szCs w:val="18"/>
                <w:color w:val="auto"/>
                <w:w w:val="91"/>
              </w:rPr>
              <w:t>10.1</w:t>
            </w:r>
          </w:p>
        </w:tc>
      </w:tr>
      <w:tr>
        <w:trPr>
          <w:trHeight w:val="196"/>
        </w:trPr>
        <w:tc>
          <w:tcPr>
            <w:tcW w:w="1140" w:type="dxa"/>
            <w:vAlign w:val="bottom"/>
          </w:tcPr>
          <w:p>
            <w:pPr>
              <w:spacing w:after="0"/>
              <w:rPr>
                <w:sz w:val="17"/>
                <w:szCs w:val="17"/>
                <w:color w:val="auto"/>
              </w:rPr>
            </w:pPr>
          </w:p>
        </w:tc>
        <w:tc>
          <w:tcPr>
            <w:tcW w:w="46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Policy.</w:t>
              </w:r>
            </w:hyperlink>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27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List of Subsidiaries of the Registrant.</w:t>
              </w:r>
            </w:hyperlink>
          </w:p>
        </w:tc>
        <w:tc>
          <w:tcPr>
            <w:tcW w:w="228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99"/>
              </w:rPr>
              <w:t>8-K</w:t>
            </w:r>
          </w:p>
        </w:tc>
        <w:tc>
          <w:tcPr>
            <w:tcW w:w="16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001-39138</w:t>
            </w:r>
          </w:p>
        </w:tc>
        <w:tc>
          <w:tcPr>
            <w:tcW w:w="15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9/29/2021</w:t>
            </w:r>
          </w:p>
        </w:tc>
        <w:tc>
          <w:tcPr>
            <w:tcW w:w="1020" w:type="dxa"/>
            <w:vAlign w:val="bottom"/>
            <w:tcBorders>
              <w:bottom w:val="single" w:sz="8" w:color="CCEEFF"/>
            </w:tcBorders>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1"/>
              </w:rPr>
              <w:t>21.1</w:t>
            </w: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4980" w:type="dxa"/>
            <w:vAlign w:val="bottom"/>
            <w:gridSpan w:val="9"/>
          </w:tcPr>
          <w:p>
            <w:pPr>
              <w:spacing w:after="0" w:line="176" w:lineRule="exact"/>
              <w:rPr>
                <w:rFonts w:ascii="Arial" w:cs="Arial" w:eastAsia="Arial" w:hAnsi="Arial"/>
                <w:sz w:val="18"/>
                <w:szCs w:val="18"/>
                <w:color w:val="0000EE"/>
                <w:w w:val="99"/>
              </w:rPr>
            </w:pPr>
            <w:hyperlink w:anchor="page167">
              <w:r>
                <w:rPr>
                  <w:rFonts w:ascii="Arial" w:cs="Arial" w:eastAsia="Arial" w:hAnsi="Arial"/>
                  <w:sz w:val="18"/>
                  <w:szCs w:val="18"/>
                  <w:color w:val="0000EE"/>
                  <w:w w:val="99"/>
                </w:rPr>
                <w:t>Certification of the Principal Executive Officer pursuant to Rule</w:t>
              </w:r>
            </w:hyperlink>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68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167">
              <w:r>
                <w:rPr>
                  <w:rFonts w:ascii="Arial" w:cs="Arial" w:eastAsia="Arial" w:hAnsi="Arial"/>
                  <w:sz w:val="18"/>
                  <w:szCs w:val="18"/>
                  <w:color w:val="0000EE"/>
                  <w:w w:val="92"/>
                </w:rPr>
                <w:t>13a-14(a) or 15d-14(a) of the Securities Exchange Act of 1934.</w:t>
              </w:r>
            </w:hyperlink>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4680" w:type="dxa"/>
            <w:vAlign w:val="bottom"/>
            <w:tcBorders>
              <w:bottom w:val="single" w:sz="8" w:color="0000EE"/>
              <w:right w:val="single" w:sz="8" w:color="CCEEFF"/>
            </w:tcBorders>
            <w:gridSpan w:val="7"/>
            <w:shd w:val="clear" w:color="auto" w:fill="CCEEFF"/>
          </w:tcPr>
          <w:p>
            <w:pPr>
              <w:spacing w:after="0" w:line="176" w:lineRule="exact"/>
              <w:rPr>
                <w:rFonts w:ascii="Arial" w:cs="Arial" w:eastAsia="Arial" w:hAnsi="Arial"/>
                <w:sz w:val="18"/>
                <w:szCs w:val="18"/>
                <w:color w:val="0000EE"/>
                <w:w w:val="94"/>
              </w:rPr>
            </w:pPr>
            <w:hyperlink w:anchor="page168">
              <w:r>
                <w:rPr>
                  <w:rFonts w:ascii="Arial" w:cs="Arial" w:eastAsia="Arial" w:hAnsi="Arial"/>
                  <w:sz w:val="18"/>
                  <w:szCs w:val="18"/>
                  <w:color w:val="0000EE"/>
                  <w:w w:val="94"/>
                </w:rPr>
                <w:t>Certification of the Principal Financial Officer pursuant to Rule</w:t>
              </w:r>
            </w:hyperlink>
          </w:p>
        </w:tc>
        <w:tc>
          <w:tcPr>
            <w:tcW w:w="300" w:type="dxa"/>
            <w:vAlign w:val="bottom"/>
            <w:tcBorders>
              <w:bottom w:val="single" w:sz="8" w:color="CCEEFF"/>
            </w:tcBorders>
            <w:gridSpan w:val="2"/>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4980" w:type="dxa"/>
            <w:vAlign w:val="bottom"/>
            <w:gridSpan w:val="9"/>
            <w:shd w:val="clear" w:color="auto" w:fill="CCEEFF"/>
          </w:tcPr>
          <w:p>
            <w:pPr>
              <w:spacing w:after="0" w:line="196" w:lineRule="exact"/>
              <w:rPr>
                <w:rFonts w:ascii="Arial" w:cs="Arial" w:eastAsia="Arial" w:hAnsi="Arial"/>
                <w:sz w:val="18"/>
                <w:szCs w:val="18"/>
                <w:color w:val="0000EE"/>
                <w:w w:val="98"/>
              </w:rPr>
            </w:pPr>
            <w:hyperlink w:anchor="page168">
              <w:r>
                <w:rPr>
                  <w:rFonts w:ascii="Arial" w:cs="Arial" w:eastAsia="Arial" w:hAnsi="Arial"/>
                  <w:sz w:val="18"/>
                  <w:szCs w:val="18"/>
                  <w:color w:val="0000EE"/>
                  <w:w w:val="98"/>
                </w:rPr>
                <w:t>13a-14(a) or 15d-14(a) of the Securities Exchange Act of 1934.</w:t>
              </w:r>
            </w:hyperlink>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32.1**</w:t>
            </w:r>
          </w:p>
        </w:tc>
        <w:tc>
          <w:tcPr>
            <w:tcW w:w="4400" w:type="dxa"/>
            <w:vAlign w:val="bottom"/>
            <w:tcBorders>
              <w:top w:val="single" w:sz="8" w:color="0000EE"/>
              <w:bottom w:val="single" w:sz="8" w:color="0000EE"/>
            </w:tcBorders>
            <w:gridSpan w:val="5"/>
          </w:tcPr>
          <w:p>
            <w:pPr>
              <w:spacing w:after="0" w:line="176" w:lineRule="exact"/>
              <w:rPr>
                <w:rFonts w:ascii="Arial" w:cs="Arial" w:eastAsia="Arial" w:hAnsi="Arial"/>
                <w:sz w:val="18"/>
                <w:szCs w:val="18"/>
                <w:color w:val="0000EE"/>
                <w:w w:val="92"/>
              </w:rPr>
            </w:pPr>
            <w:hyperlink w:anchor="page169">
              <w:r>
                <w:rPr>
                  <w:rFonts w:ascii="Arial" w:cs="Arial" w:eastAsia="Arial" w:hAnsi="Arial"/>
                  <w:sz w:val="18"/>
                  <w:szCs w:val="18"/>
                  <w:color w:val="0000EE"/>
                  <w:w w:val="92"/>
                </w:rPr>
                <w:t>Certification of the Principal Executive Officer and Principal</w:t>
              </w:r>
            </w:hyperlink>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CCEEFF"/>
            </w:tcBorders>
            <w:gridSpan w:val="3"/>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58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980" w:type="dxa"/>
            <w:vAlign w:val="bottom"/>
            <w:gridSpan w:val="9"/>
          </w:tcPr>
          <w:p>
            <w:pPr>
              <w:spacing w:after="0" w:line="196" w:lineRule="exact"/>
              <w:rPr>
                <w:rFonts w:ascii="Arial" w:cs="Arial" w:eastAsia="Arial" w:hAnsi="Arial"/>
                <w:sz w:val="18"/>
                <w:szCs w:val="18"/>
                <w:color w:val="0000EE"/>
                <w:w w:val="95"/>
              </w:rPr>
            </w:pPr>
            <w:hyperlink w:anchor="page169">
              <w:r>
                <w:rPr>
                  <w:rFonts w:ascii="Arial" w:cs="Arial" w:eastAsia="Arial" w:hAnsi="Arial"/>
                  <w:sz w:val="18"/>
                  <w:szCs w:val="18"/>
                  <w:color w:val="0000EE"/>
                  <w:w w:val="95"/>
                </w:rPr>
                <w:t>Financial Officer pursuant to 18 U.S.C. Section 1350, as adopted</w:t>
              </w:r>
            </w:hyperlink>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680" w:type="dxa"/>
            <w:vAlign w:val="bottom"/>
            <w:tcBorders>
              <w:top w:val="single" w:sz="8" w:color="0000EE"/>
            </w:tcBorders>
            <w:gridSpan w:val="7"/>
          </w:tcPr>
          <w:p>
            <w:pPr>
              <w:spacing w:after="0" w:line="196" w:lineRule="exact"/>
              <w:rPr>
                <w:rFonts w:ascii="Arial" w:cs="Arial" w:eastAsia="Arial" w:hAnsi="Arial"/>
                <w:sz w:val="18"/>
                <w:szCs w:val="18"/>
                <w:color w:val="0000EE"/>
                <w:w w:val="97"/>
              </w:rPr>
            </w:pPr>
            <w:hyperlink w:anchor="page169">
              <w:r>
                <w:rPr>
                  <w:rFonts w:ascii="Arial" w:cs="Arial" w:eastAsia="Arial" w:hAnsi="Arial"/>
                  <w:sz w:val="18"/>
                  <w:szCs w:val="18"/>
                  <w:color w:val="0000EE"/>
                  <w:w w:val="97"/>
                </w:rPr>
                <w:t>pursuant to Section 906 of the Sarbanes-Oxley Act of 2002.</w:t>
              </w:r>
            </w:hyperlink>
          </w:p>
        </w:tc>
        <w:tc>
          <w:tcPr>
            <w:tcW w:w="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498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3"/>
              </w:rPr>
              <w:t>Inline XBRL Instance Document – the instance document does not</w:t>
            </w:r>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1140" w:type="dxa"/>
            <w:vAlign w:val="bottom"/>
            <w:shd w:val="clear" w:color="auto" w:fill="CCEEFF"/>
          </w:tcPr>
          <w:p>
            <w:pPr>
              <w:spacing w:after="0"/>
              <w:rPr>
                <w:sz w:val="18"/>
                <w:szCs w:val="18"/>
                <w:color w:val="auto"/>
              </w:rPr>
            </w:pPr>
          </w:p>
        </w:tc>
        <w:tc>
          <w:tcPr>
            <w:tcW w:w="49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1140" w:type="dxa"/>
            <w:vAlign w:val="bottom"/>
            <w:shd w:val="clear" w:color="auto" w:fill="CCEEFF"/>
          </w:tcPr>
          <w:p>
            <w:pPr>
              <w:spacing w:after="0"/>
              <w:rPr>
                <w:sz w:val="20"/>
                <w:szCs w:val="20"/>
                <w:color w:val="auto"/>
              </w:rPr>
            </w:pPr>
          </w:p>
        </w:tc>
        <w:tc>
          <w:tcPr>
            <w:tcW w:w="49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embedded within the Inline XBRL document.</w:t>
            </w:r>
          </w:p>
        </w:tc>
        <w:tc>
          <w:tcPr>
            <w:tcW w:w="9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49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498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rPr>
              <w:t>Inline XBRL Taxonomy Extension Calculation Linkbase</w:t>
            </w:r>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140" w:type="dxa"/>
            <w:vAlign w:val="bottom"/>
            <w:shd w:val="clear" w:color="auto" w:fill="CCEEFF"/>
          </w:tcPr>
          <w:p>
            <w:pPr>
              <w:spacing w:after="0"/>
              <w:rPr>
                <w:sz w:val="20"/>
                <w:szCs w:val="20"/>
                <w:color w:val="auto"/>
              </w:rPr>
            </w:pPr>
          </w:p>
        </w:tc>
        <w:tc>
          <w:tcPr>
            <w:tcW w:w="49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Document.</w:t>
            </w:r>
          </w:p>
        </w:tc>
        <w:tc>
          <w:tcPr>
            <w:tcW w:w="9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101.DEF*</w:t>
            </w:r>
          </w:p>
        </w:tc>
        <w:tc>
          <w:tcPr>
            <w:tcW w:w="4980" w:type="dxa"/>
            <w:vAlign w:val="bottom"/>
            <w:gridSpan w:val="9"/>
          </w:tcPr>
          <w:p>
            <w:pPr>
              <w:spacing w:after="0" w:line="201" w:lineRule="exact"/>
              <w:rPr>
                <w:sz w:val="20"/>
                <w:szCs w:val="20"/>
                <w:color w:val="auto"/>
              </w:rPr>
            </w:pPr>
            <w:r>
              <w:rPr>
                <w:rFonts w:ascii="Arial" w:cs="Arial" w:eastAsia="Arial" w:hAnsi="Arial"/>
                <w:sz w:val="18"/>
                <w:szCs w:val="18"/>
                <w:color w:val="auto"/>
              </w:rPr>
              <w:t>Inline XBRL Taxonomy Extension Definition Linkbase</w:t>
            </w: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49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101.PRE*</w:t>
            </w:r>
          </w:p>
        </w:tc>
        <w:tc>
          <w:tcPr>
            <w:tcW w:w="4980" w:type="dxa"/>
            <w:vAlign w:val="bottom"/>
            <w:gridSpan w:val="9"/>
          </w:tcPr>
          <w:p>
            <w:pPr>
              <w:spacing w:after="0" w:line="201" w:lineRule="exact"/>
              <w:rPr>
                <w:sz w:val="20"/>
                <w:szCs w:val="20"/>
                <w:color w:val="auto"/>
              </w:rPr>
            </w:pPr>
            <w:r>
              <w:rPr>
                <w:rFonts w:ascii="Arial" w:cs="Arial" w:eastAsia="Arial" w:hAnsi="Arial"/>
                <w:sz w:val="18"/>
                <w:szCs w:val="18"/>
                <w:color w:val="auto"/>
              </w:rPr>
              <w:t>Inline XBRL Taxonomy Extension Presentation Linkbase</w:t>
            </w: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49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498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8"/>
              </w:rPr>
              <w:t>Cover Page Interactive Data File (formatted as inline XBRL and</w:t>
            </w:r>
          </w:p>
        </w:tc>
        <w:tc>
          <w:tcPr>
            <w:tcW w:w="9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1140" w:type="dxa"/>
            <w:vAlign w:val="bottom"/>
            <w:shd w:val="clear" w:color="auto" w:fill="CCEEFF"/>
          </w:tcPr>
          <w:p>
            <w:pPr>
              <w:spacing w:after="0"/>
              <w:rPr>
                <w:sz w:val="20"/>
                <w:szCs w:val="20"/>
                <w:color w:val="auto"/>
              </w:rPr>
            </w:pPr>
          </w:p>
        </w:tc>
        <w:tc>
          <w:tcPr>
            <w:tcW w:w="49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contained in Exhibit 101).</w:t>
            </w:r>
          </w:p>
        </w:tc>
        <w:tc>
          <w:tcPr>
            <w:tcW w:w="9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340" w:right="20" w:hanging="332"/>
        <w:spacing w:after="0" w:line="291"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annexes, schedules, and certain exhibits to the Business Combination Agreement have been omitted pursuant to Item 601(b)(2) of Regulation S-K. The Registrant hereby agrees to furnish supplementally a copy of any omitted annex, schedule or exhibit to the SEC upon request.</w:t>
      </w: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jc w:val="both"/>
        <w:ind w:left="340" w:right="180" w:hanging="332"/>
        <w:spacing w:after="0" w:line="250"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identified information has been omitted pursuant to Item 601(b)(10) of Regulation S-K because such information is both (i) not material and (ii) of the type that the Registrant treats as private or confidential. The Registrant hereby undertakes to furnish supplemental copies of the unredacted exhibit upon request by the SEC.</w:t>
      </w:r>
    </w:p>
    <w:p>
      <w:pPr>
        <w:spacing w:after="0" w:line="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7"/>
          <w:szCs w:val="17"/>
          <w:b w:val="1"/>
          <w:bCs w:val="1"/>
          <w:color w:val="auto"/>
        </w:rPr>
        <w:t>JASPER THERAPEUTICS,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Ronald Martell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53"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 Ronald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Ronald Martell</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Jeet Mahal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Jeet Mahal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Lis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Anna French, D.Phil.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Anna French, D.Phil.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Klein,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Klein,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Christian W. Nolet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Christian W. Nolet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Judith Shizuru,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28854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Judith Shizuru, M.D.,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Kurt von Emster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Kurt von Emster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Title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29"/>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18, 2022</w:t>
            </w:r>
          </w:p>
        </w:tc>
      </w:tr>
      <w:tr>
        <w:trPr>
          <w:trHeight w:val="230"/>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Executive Officer)</w:t>
            </w:r>
          </w:p>
        </w:tc>
        <w:tc>
          <w:tcPr>
            <w:tcW w:w="3600" w:type="dxa"/>
            <w:vAlign w:val="bottom"/>
          </w:tcPr>
          <w:p>
            <w:pPr>
              <w:spacing w:after="0"/>
              <w:rPr>
                <w:sz w:val="20"/>
                <w:szCs w:val="20"/>
                <w:color w:val="auto"/>
              </w:rPr>
            </w:pPr>
          </w:p>
        </w:tc>
      </w:tr>
      <w:tr>
        <w:trPr>
          <w:trHeight w:val="418"/>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Financial Officer and Chief Business</w:t>
            </w:r>
          </w:p>
        </w:tc>
        <w:tc>
          <w:tcPr>
            <w:tcW w:w="3600" w:type="dxa"/>
            <w:vAlign w:val="bottom"/>
          </w:tcPr>
          <w:p>
            <w:pPr>
              <w:spacing w:after="0"/>
              <w:rPr>
                <w:sz w:val="24"/>
                <w:szCs w:val="24"/>
                <w:color w:val="auto"/>
              </w:rPr>
            </w:pPr>
          </w:p>
        </w:tc>
      </w:tr>
      <w:tr>
        <w:trPr>
          <w:trHeight w:val="229"/>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r>
        <w:trPr>
          <w:trHeight w:val="230"/>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Accounting and Financial Officer)</w:t>
            </w:r>
          </w:p>
        </w:tc>
        <w:tc>
          <w:tcPr>
            <w:tcW w:w="3600" w:type="dxa"/>
            <w:vAlign w:val="bottom"/>
          </w:tcPr>
          <w:p>
            <w:pPr>
              <w:spacing w:after="0"/>
              <w:rPr>
                <w:sz w:val="20"/>
                <w:szCs w:val="20"/>
                <w:color w:val="auto"/>
              </w:rPr>
            </w:pPr>
          </w:p>
        </w:tc>
      </w:tr>
      <w:tr>
        <w:trPr>
          <w:trHeight w:val="445"/>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Chairman of the Board</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r>
        <w:trPr>
          <w:trHeight w:val="675"/>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r>
        <w:trPr>
          <w:trHeight w:val="675"/>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r>
        <w:trPr>
          <w:trHeight w:val="675"/>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r>
        <w:trPr>
          <w:trHeight w:val="675"/>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r>
        <w:trPr>
          <w:trHeight w:val="675"/>
        </w:trPr>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r>
    </w:tbl>
    <w:p>
      <w:pPr>
        <w:spacing w:after="0" w:line="406" w:lineRule="exact"/>
        <w:rPr>
          <w:sz w:val="20"/>
          <w:szCs w:val="20"/>
          <w:color w:val="auto"/>
        </w:rPr>
      </w:pPr>
    </w:p>
    <w:p>
      <w:pPr>
        <w:sectPr>
          <w:pgSz w:w="11900" w:h="16838" w:orient="portrait"/>
          <w:cols w:equalWidth="0" w:num="2">
            <w:col w:w="3120" w:space="720"/>
            <w:col w:w="7400"/>
          </w:cols>
          <w:pgMar w:left="320" w:top="553"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OF JASPER THERAPEUTICS, INC.</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summary of certain provisions of the securities of Jasper Therapeutics, Inc. (the “Company”) does not purport to be complete and is subject to the Company’s Second Amended and Restated Certificate of Incorporation (the “Certificate of Incorporation”), the Company’s Second Amended and Restated Bylaws (the “Bylaws”) and the provisions of applicable law. Copies of the Certificate of Incorporation and the Bylaws are filed as exhibits to the Company’s Annual Report on Form 10-K to which this document is an exhibit.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Certificate of Incorporation authorizes the issuance of 502,000,000 shares of common stock of which: (a) 490,000,000 shall be voting common stock, par value $0.0001 per share (the “Voting Common Stock”) and (b) 2,000,000 shall be non-voting common stock, par value $0.0001 per share (the “Non-Voting Common Stock” and, together with the Voting Common Stock, the “Common Stock”), and 10,000,000 shares of undesignated preferred stock, par value $0.0001 per share (the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Under the Certificate of Incorporation, holders of Voting Common Stock and Non-Voting Common Stock have identical rights other than with respect to voting and conversion rights, each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Except as otherwise expressly provided in the Certificate of Incorporation or as required by applicable law, on any matter that is submitted to a vote by the Company’s stockholders, holders of Voting Common Stock will be entitled to one vote per share of Voting Common Stock, and holders of Non-Voting Common Stock will not be entitled to any votes per share of Non-Voting Common Stock, including for the election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Holders of Voting Common Stock do not have conversion rights, while holders of Non-Voting Common Stock have the right to convert each share of Non-Voting Common Stock held by such holder into one share of Voting Common Stock at such holder’s election by providing written notice to the Company, provided that as a result of such conversion, such holder, together with its affiliates and any members of a Schedule 13(d) group with such holder, would not beneficially own in excess of 9.9% of Voting Common Stock following such conversion. However, this ownership limitation may be increased to any other percentage designated by such holder of Non-Voting Common Stock (and applicable only to such holder) upon 61 days’ prior written notice to the Company or decreased to any other percentage designated by such holder of Non-Voting Common Stock (and applicable only to such holder) at any time upon prior written notice to the Company. Holders of Non-Voting Common Stock are also permitted to make certain transfers to non-affiliates upon which such transferred shares would immediately convert to shares of Voting Common Stock upon the written request of the original holder and the written certification from the transferee holder of its non-affiliation with the original holder of such Non-Voting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Holders of Common Stock are entitled to receive ratably any dividends declared by the Company’s Board of Directors (the “Board”) or a committee thereof out of funds legally available for that purpose, subject to any preferential dividend rights of any then outstanding Preferred Stock. The Common Stock does not have preemptive rights or other subscription rights or redemption or sinking fund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event of the Company’s voluntary or involuntary liquidation, dissolution or winding up, its net assets will be distributed pro rata to the holders of Common Stock, subject to any liquidation preference of any then outstanding Preferred Stock. The holders of Non-Voting Common Stock will rank on parity with holders of Voting Common Stock as to such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Holders of Common Stock have no preemptive or other subscription rights, and there are no sinking fund or redemption provisions applicable to the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Board is divided into three classes, Class I, Class II and Class III, with only one class of directors being elected in each year and each class serving a three-year term, except that the Class I directors as of September 24, 2021 shall serve an initial one-year term (and three-year terms subsequently) and the Class II directors as of September 24, 2021 shall serve an initial two-year term (and three-year terms subsequently). There is no cumulative voting with respect to the election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Voting Common Stock is listed on the Nasdaq Capital Market under the symbol “JSPR.”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Certificate of Incorporation provides that shares of Preferred Stock may be issued from time to time in one or more series. The Board is authorized to fix the number of shares applicable to any such series of Preferred Stock and to determine or alter for each such series, such voting powers, full or limited, or no voting powers, and such designation, preferences, and relative, participating, optional or other rights and such qualifications, limitations or restrictions thereof. The Board will be able to, without stockholder approval, issue Preferred Stock with voting and other rights that could adversely affect the voting power and other rights of the holders of Common Stock and could have anti-takeover effects. The ability of the Board to issue Preferred Stock without stockholder approval could have the effect of delaying, deferring or preventing a change of control of the Company or the removal of existing management. As of December 31, 2021, there were no shares of Preferred Stock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Bylaws provide that special meetings of stockholders may be called only by a majority vote of the Board, by the Chairman of the Board, or by the Company’s Chief Executive Officer. The Bylaws limit the business that may be conducted at an annual meeting of stockholders to those matters properly brought before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The Bylaws provide that stockholders seeking to bring business before an annual meeting of stockholders, or to nominate candidates for election as directors at an annual meeting of stockholders, must provide timely notice of their intent in writing. To be timely under the Bylaws, a stockholder’s notice will generally need to be received by the corporate secretary at the Company’s principal executive offices not later than the close of business on the</w:t>
      </w:r>
    </w:p>
    <w:p>
      <w:pPr>
        <w:spacing w:after="0" w:line="2"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provided, however, that in the event the date of the annual meeting is advanced more than 30 days prior to or delayed by more than 60 days after the anniversary of the preceding year’s annual meeting, or if no annual meeting was held in the preceding year, notice by the stockholder to be timely must be so received not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w:t>
      </w:r>
    </w:p>
    <w:p>
      <w:pPr>
        <w:spacing w:after="0" w:line="1"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meeting and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day on which notice of the date of such annual meeting was mailed or public announcement of the date of such meeting is first made, whichever first occurs. Pursuant to Rule 14a-8 of the Exchange Act, stockholders seeking to have proposals included in the Company’s annual proxy statement must comply with the notice periods contained therein. The Bylaws specify certain requirements as to the form and content of a stockholders’ meeting. These provisions may preclude the Company’s stockholders from bringing matters before an annual meeting of stockholders or from making nominations for directors at an annual meeting of stockholders.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Written Consent by Stockholders</w:t>
      </w:r>
    </w:p>
    <w:p>
      <w:pPr>
        <w:spacing w:after="0" w:line="2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The Certificate of Incorporation and the Bylaws provide that no action shall be taken by the Company’s stockholders except at an annual or special meeting of stockholders called in accordance with the Bylaws, and no action shall be taken by the stockholders by written consent or electronic transmission.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Bylaws</w:t>
      </w:r>
    </w:p>
    <w:p>
      <w:pPr>
        <w:spacing w:after="0" w:line="192"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The Certificate of Incorporation requires the affirmative vote of the holders of at least 66⅔% of the voting power of all of the then-outstanding shares of the Company’s capital stock entitled to vote generally in the election of directors, voting together as a single class to alter, amend or appeal Articles V (regarding directors), VI (regarding indemnification), VII (exclusive forum) or VIII (regarding amendments of the Certificate of Incorporation) of the Certificate of Incorporation (provided that as of the three-year anniversary of September 24, 2024, such reference to “66⅔%” shall be deemed to be “50%”).</w:t>
      </w:r>
    </w:p>
    <w:p>
      <w:pPr>
        <w:spacing w:after="0" w:line="182" w:lineRule="exact"/>
        <w:rPr>
          <w:sz w:val="20"/>
          <w:szCs w:val="20"/>
          <w:color w:val="auto"/>
        </w:rPr>
      </w:pPr>
    </w:p>
    <w:p>
      <w:pPr>
        <w:ind w:right="60" w:firstLine="324"/>
        <w:spacing w:after="0" w:line="298" w:lineRule="auto"/>
        <w:rPr>
          <w:sz w:val="20"/>
          <w:szCs w:val="20"/>
          <w:color w:val="auto"/>
        </w:rPr>
      </w:pPr>
      <w:r>
        <w:rPr>
          <w:rFonts w:ascii="Arial" w:cs="Arial" w:eastAsia="Arial" w:hAnsi="Arial"/>
          <w:sz w:val="17"/>
          <w:szCs w:val="17"/>
          <w:color w:val="auto"/>
        </w:rPr>
        <w:t>The Bylaws provide that they may be adopted, amended, or repealed by the Company’s stockholders by the affirmative vote of the holders of at least 66⅔% of the voting power of all of the Company’s then outstanding capital stock entitled to vote generally in the election of directors, voting together as a single class (provided that as of September 24, 2024, such reference to “66⅔%” shall be deemed to be “50%”).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60" w:firstLine="324"/>
        <w:spacing w:after="0" w:line="325" w:lineRule="auto"/>
        <w:rPr>
          <w:sz w:val="20"/>
          <w:szCs w:val="20"/>
          <w:color w:val="auto"/>
        </w:rPr>
      </w:pPr>
      <w:r>
        <w:rPr>
          <w:rFonts w:ascii="Arial" w:cs="Arial" w:eastAsia="Arial" w:hAnsi="Arial"/>
          <w:sz w:val="16"/>
          <w:szCs w:val="16"/>
          <w:color w:val="auto"/>
        </w:rPr>
        <w:t>The Certificate of Incorporation provides that, subject to the rights of any series of Preferred Stock, directors may be removed at any time, but only for cause and only by the affirmative vote of 66⅔% of the voting power of all then outstanding capital stock entitled to vote generally at an election of directors, voting together as a single class (provided that as of September 24, 2024, such reference to “66⅔%” shall be deemed to be “50%”).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Certificate of Incorporation and the Bylaws provide that the Court of Chancery of the State of Delaware will be the sole and exclusive forum for the following claims or causes of actions or proceedings under Delaware statutory or common law: (i) any derivative action or claim brought on the Company’s behalf; (ii) any action or proceeding asserting a claim of breach of a fiduciary duty owed by any of the Company’s current or former directors, officers or other employees to the Company or its stockholders; (iii) any action or proceeding asserting a claim against the Company or any of its current or former directors, officers or other employees, arising out of or pursuant to any provision of the General Corporation Law of the State of Delaware (the “DGCL”), the Certificate of Incorporation or the Bylaws; (iv) any action asserting a claim against the Company or any of its directors, officers, or other employees governed by the internal-affairs doctrine or otherwise related to the Company’s internal affairs; (v) any action or claim to interpret, apply, enforce or determine the validity of the Certificate of Incorporation or the Bylaws; and (vi) any action or claim as to which the DGCL confers jurisdiction to the Court of Chancery of the State of Delaware, in all cases to the fullest extent permitted by law and subject to the court having personal jurisdiction over the indispensable parties named as defendants. Further, pursuant to the Certificate of Incorporation and the Bylaws, these foregoing provisions would not apply to suits brought to enforce a duty or liability created by the Exchange Act, the Securities Act or any other claim for which the federal courts have exclusive jurisdiction. Any person or entity holding, owning or otherwise acquiring any interest in shares of the Company’s capital stock shall be deemed to have notice of and to have consented to such provisions.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ind w:right="20" w:firstLine="324"/>
        <w:spacing w:after="0" w:line="291" w:lineRule="auto"/>
        <w:rPr>
          <w:sz w:val="20"/>
          <w:szCs w:val="20"/>
          <w:color w:val="auto"/>
        </w:rPr>
      </w:pPr>
      <w:r>
        <w:rPr>
          <w:rFonts w:ascii="Arial" w:cs="Arial" w:eastAsia="Arial" w:hAnsi="Arial"/>
          <w:sz w:val="16"/>
          <w:szCs w:val="16"/>
          <w:color w:val="auto"/>
        </w:rPr>
        <w:t>Although the Company believes these provisions benefit the Company by providing increased consistency in the application of Delaware law in the types of lawsuits to which they apply, a court may determine that these provisions are unenforceable, and to the extent they are enforceable, the provisions may have the effect of discouraging lawsuits against the Company’s directors and officers, although the Company’s stockholders will not be deemed to have waived the Company’s compliance with federal securities laws and the rules and regulations thereunder. Additionally, the Company cannot be certain that a court will decide that these provisions are either applicable or enforceable, and if a court were to find the choice of forum provisions contained in the Certificate of Incorporation and the Bylaws to be inapplicable or unenforceable in an action, the Company may incur additional costs associated with resolving such action in other jurisdictions, which could harm its business, operating results and financial condition.</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the Certificate of Incorporation and the Bylaws provide that the federal district courts of the United States are the exclusive forum for resolving any complaint asserting a cause of action arising under the Securities Act, including all causes of action asserted against any defendant named in such complaint.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The Company is subject to provisions of Section 203 of the DGCL regulating corporate takeovers under the Certificate of Incorporation. This statute prevents certain Delaware corporations, under certain circumstances, from engaging in a “business combination” with:</w:t>
      </w:r>
    </w:p>
    <w:p>
      <w:pPr>
        <w:spacing w:after="0" w:line="14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stockholder who owns 15% or more of the Company’s outstanding voting stock (otherwise known as an “interested stockholder”);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“business combination” includes a merger or sale of more than 10% of the Company’s assets. However, the above provisions of Section 203 do not apply if:</w:t>
      </w:r>
    </w:p>
    <w:p>
      <w:pPr>
        <w:spacing w:after="0" w:line="17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approves the transaction that made the stockholder an “interested stockholder,” prior to the date of the transaction;</w:t>
      </w:r>
    </w:p>
    <w:p>
      <w:pPr>
        <w:spacing w:after="0" w:line="225"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p>
      <w:pPr>
        <w:spacing w:after="0" w:line="123" w:lineRule="exact"/>
        <w:rPr>
          <w:rFonts w:ascii="Arial" w:cs="Arial" w:eastAsia="Arial" w:hAnsi="Arial"/>
          <w:sz w:val="16"/>
          <w:szCs w:val="16"/>
          <w:color w:val="auto"/>
        </w:rPr>
      </w:pPr>
    </w:p>
    <w:p>
      <w:pPr>
        <w:ind w:left="660" w:hanging="328"/>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Company’s initial business combination is approved by the Board and authorized at a meeting of the Company’s stockholders, and not by written consent, by an affirmative vote of at least two-thirds of the outstanding voting stock not owned by the interested stockholder.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63" w:name="page164"/>
    <w:bookmarkEnd w:id="163"/>
    <w:p>
      <w:pPr>
        <w:ind w:firstLine="324"/>
        <w:spacing w:after="0" w:line="296"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the Company for a three-year period. This provision may encourage companies interested in acquiring the Company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Certificate of Incorporation eliminates directors’ liability for monetary damages to the fullest extent permitted by applicable law. The Certificate of Incorporation and the Bylaws require the Company to indemnify and advance expenses to, to the fullest extent permitted by applicable law, its directors and officers. The Certificate of Incorporation and the Bylaws authorize the Board to determine whether to indemnify and advance expenses to, as set forth in the DGCL or any other applicable law, the Company’s employees and other agents. Further, the Certificate of Incorporation prohibits any retroactive changes to the rights or protections or increase the liability of any director in effect at the time of the alleged occurrence of any act or omission to act giving rise to liability or indemnification. The Company believes that these provisions in the Certificate of Incorporation and the Bylaws are necessary to attract and retain qualified persons as directors and officers. However, these provisions may discourage stockholders from bringing a lawsuit against the Company’s directors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provisions.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As of December 31, 2021, the Company had outstanding warrants to purchase 4,999,883 shares of Voting Common Stock with an exercise price of $11.50 per share (the “Public Warrants”), all of which are currently excisable. The Public Warrants will expire on September 24, 2026, at 5:00 p.m., New York City time, or earlier upon redemption or liquidation.</w:t>
      </w:r>
    </w:p>
    <w:p>
      <w:pPr>
        <w:spacing w:after="0" w:line="18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the Voting Common Stock is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the Company will be required to use its best efforts to register or qualify the shares under applicable blue sky laws to the extent an exemption is not available. Once the Public Warrants become exercisable, the Company may call the Public Warrants for redemption:</w:t>
      </w:r>
    </w:p>
    <w:p>
      <w:pPr>
        <w:spacing w:after="0" w:line="19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and only if, the reported last sale price of Voting Common Stock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If and when the Public Warrants become redeemable by the Company, it may exercise its redemption right if the issuance of shares of Voting Common Stock upon exercise of the Public Warrants is not exempt from registration or qualification under applicable state blue sky laws or the Company is unable to effect such registration or qualification.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ind w:right="80" w:firstLine="324"/>
        <w:spacing w:after="0" w:line="257" w:lineRule="auto"/>
        <w:rPr>
          <w:sz w:val="20"/>
          <w:szCs w:val="20"/>
          <w:color w:val="auto"/>
        </w:rPr>
      </w:pPr>
      <w:r>
        <w:rPr>
          <w:rFonts w:ascii="Arial" w:cs="Arial" w:eastAsia="Arial" w:hAnsi="Arial"/>
          <w:sz w:val="18"/>
          <w:szCs w:val="18"/>
          <w:color w:val="auto"/>
        </w:rPr>
        <w:t>The Company has established the last of the redemption criterion discussed above to prevent a redemption call unless there is at the time of the call a significant premium to the warrant exercise price. If the foregoing conditions are satisfied and the Company issues a notice of redemption of the Public Warrants, each warrant holder will be entitled to exercise its Public Warrant prior to the scheduled redemption date. However, the price of Voting Common Stock may fall below the $18.00 redemption trigger price (as adjusted for stock splits, stock dividends, reorganizations, recapitalizations and the like) as well as the $11.50 warrant exercise price after the redemption notice is issued.</w:t>
      </w:r>
    </w:p>
    <w:p>
      <w:pPr>
        <w:spacing w:after="0" w:line="188"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If the Company calls the Public Warrants for redemption as described above, the Company’s management will have the option to require any holder that wishes to exercise its Public Warrant to do so on a “cashless basis.” In determining whether to require all holders to exercise their Public Warrants on a “cashless basis,” the Company’s management will consider, among other factors, the Company’s cash position, the number of Public Warrants that are outstanding and the dilutive effect on its stockholders of issuing the maximum number of shares of Voting Common Stock issuable upon the exercise of the Public Warrants. If the Company’s management takes advantage of this option, all holders of Public Warrants would pay the exercise price by surrendering their Public Warrants for that number of shares of Voting Common Stock equal to the quotient obtained by dividing (x) the product of the number of shares of Voting Common Stock underlying the Public Warrants, multiplied by the excess of the “fair market value” (defined below) over the exercise price of the Public Warrants by (y) the fair market value. The “fair market value” shall mean the average last reported sale price of Voting Common Stock for the</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10 trading days ending on the third trading day prior to the date on which the notice of redemption is sent to the holders of Public Warrants. If the Company’s management takes advantage of this option, the notice of redemption will contain the information necessary to calculate the number of shares of Voting Common Stock to be received upon exercise of the Public Warrants, including the “fair market value” in such case. Requiring a cashless exercise in this manner will reduce the number of shares to be issued and thereby lessen the dilutive effect of a Public Warrant redemption. The Company believes this feature is an attractive option if the Company does not need the cash from the exercise of the Public Warrants after the closing.</w:t>
      </w:r>
    </w:p>
    <w:p>
      <w:pPr>
        <w:spacing w:after="0" w:line="1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Public Warrant agent’s actual knowledge, would beneficially own in excess of 4.8% or 9.8% (or such other amount as a holder may specify) of the shares of Voting Common Stock outstanding immediately after giving effect to such exercise.</w:t>
      </w:r>
    </w:p>
    <w:p>
      <w:pPr>
        <w:spacing w:after="0" w:line="18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If the number of outstanding shares of Voting Common Stock is increased by a stock dividend payable in shares of Voting Common Stock, or by a split-up of shares of Voting Common Stock or other similar event, then, on the effective date of such stock dividend, split-up or similar event, the number of shares of Voting Common Stock issuable on exercise of each Public Warrant will be increased in proportion to such increase in the outstanding shares of Voting Common Stock. A rights offering to holders of Voting Common Stock entitling holders to purchase shares of Voting Common Stock at a price less than the fair market value will be deemed a stock dividend of a number of shares of Voting Common Stock equal to the product of (i) the number of shares of Voting Common Stock actually sold in such rights offering (or issuable under any other equity securities sold in such rights offering that are convertible into or exercisable for Voting Common Stock) multiplied by (ii) one minus the quotient of (x) the price per share of Voting Common Stock paid in such rights offering divided by (y) the fair market value. For these purposes (i) if the rights offering is for securities convertible into or exercisable for Voting Common Stock, in determining the price payable for Voting Common Stock, there will be taken into account any consideration received for such rights, as well as any additional amount payable upon exercise or conversion and (ii) fair market value means the volume weighted average price of Voting Common Stock as reported during the ten (10) trading day period ending on the trading day prior to the first date on which the shares of Voting Common Stock trade on the applicable exchange or in the applicable market, regular way, without the right to receive such rights.</w:t>
      </w:r>
    </w:p>
    <w:p>
      <w:pPr>
        <w:spacing w:after="0" w:line="168" w:lineRule="exact"/>
        <w:rPr>
          <w:sz w:val="20"/>
          <w:szCs w:val="20"/>
          <w:color w:val="auto"/>
        </w:rPr>
      </w:pPr>
    </w:p>
    <w:p>
      <w:pPr>
        <w:ind w:right="300" w:firstLine="324"/>
        <w:spacing w:after="0" w:line="275" w:lineRule="auto"/>
        <w:rPr>
          <w:sz w:val="20"/>
          <w:szCs w:val="20"/>
          <w:color w:val="auto"/>
        </w:rPr>
      </w:pPr>
      <w:r>
        <w:rPr>
          <w:rFonts w:ascii="Arial" w:cs="Arial" w:eastAsia="Arial" w:hAnsi="Arial"/>
          <w:sz w:val="17"/>
          <w:szCs w:val="17"/>
          <w:color w:val="auto"/>
        </w:rPr>
        <w:t>In addition, if the Company, at any time while the Public Warrants are outstanding and unexpired, pays a dividend or makes a distribution in cash, securities or other assets to the holders of Voting Common Stock on account of such shares of Voting Common Stock (or other shares of the Company’s capital stock into which the Public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Voting Common Stock in respect of such event.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right="20" w:firstLine="324"/>
        <w:spacing w:after="0" w:line="259" w:lineRule="auto"/>
        <w:rPr>
          <w:sz w:val="20"/>
          <w:szCs w:val="20"/>
          <w:color w:val="auto"/>
        </w:rPr>
      </w:pPr>
      <w:r>
        <w:rPr>
          <w:rFonts w:ascii="Arial" w:cs="Arial" w:eastAsia="Arial" w:hAnsi="Arial"/>
          <w:sz w:val="18"/>
          <w:szCs w:val="18"/>
          <w:color w:val="auto"/>
        </w:rPr>
        <w:t>If the number of outstanding shares of Voting Common Stock is decreased by a consolidation, combination, reverse stock split or reclassification of shares of Voting Common Stock or other similar event, then, on the effective date of such consolidation, combination, reverse stock split, reclassification or similar event, the number of shares of Voting Common Stock issuable on exercise of each Public Warrant will be decreased in proportion to such decrease in outstanding shares of Voting Common Stock.</w:t>
      </w:r>
    </w:p>
    <w:p>
      <w:pPr>
        <w:spacing w:after="0" w:line="187" w:lineRule="exact"/>
        <w:rPr>
          <w:sz w:val="20"/>
          <w:szCs w:val="20"/>
          <w:color w:val="auto"/>
        </w:rPr>
      </w:pPr>
    </w:p>
    <w:p>
      <w:pPr>
        <w:jc w:val="both"/>
        <w:ind w:right="180" w:firstLine="324"/>
        <w:spacing w:after="0" w:line="301" w:lineRule="auto"/>
        <w:rPr>
          <w:sz w:val="20"/>
          <w:szCs w:val="20"/>
          <w:color w:val="auto"/>
        </w:rPr>
      </w:pPr>
      <w:r>
        <w:rPr>
          <w:rFonts w:ascii="Arial" w:cs="Arial" w:eastAsia="Arial" w:hAnsi="Arial"/>
          <w:sz w:val="16"/>
          <w:szCs w:val="16"/>
          <w:color w:val="auto"/>
        </w:rPr>
        <w:t>Whenever the number of shares of Voting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Voting Common Stock purchasable upon the exercise of the Public Warrants immediately prior to such adjustment, and (y) the denominator of which will be the number of shares of Voting Common Stock purchasable immediately thereafter.</w:t>
      </w:r>
    </w:p>
    <w:p>
      <w:pPr>
        <w:spacing w:after="0" w:line="15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Voting Common Stock (other than those described above or that solely affects the par value of such shares of Voting Common Stock), or in the case of any merger or consolidation of the Company with or into another corporation (other than a consolidation or merger in which the Company is the continuing corporation and that does not result in any reclassification or reorganization of outstanding shares of Voting Common Stock), or in the case of any sale or conveyance to another corporation or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Voting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Voting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dated as of November 19, 2019, by and between the Company and Continental Stock Transfer &amp; Trust Company, as warrant agent (“Warrant Agreement”) based on the Black-Scholes value (as defined in the Warrant Agreement) of the Public Warrant. The Public Warrants will be issued in registered form under the Warrant Agreement.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the Company, for the number of Public Warrants being exercised. The warrant holders do not have the rights or privileges of holders of Voting Common Stock or any voting rights until they exercise their Public Warrants and receive shares of Voting Common Stock. After the issuance of shares of Voting Common Stock upon exercise of the Public Warrants, each holder will be entitled to one vote for each share held of record on all matters to be voted on by stockholders.</w:t>
      </w:r>
    </w:p>
    <w:p>
      <w:pPr>
        <w:spacing w:after="0" w:line="178"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No fractional shares will be issued upon exercise of the Public Warrants. If, upon exercise of the Public Warrants, a holder would be entitled to receive a fractional interest in a share, the Company will, upon exercise, round down to the nearest whole number of shares of Voting Common Stock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Public Warrants are listed on the Nasdaq Capital Market under the symbol “JSPRW.”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Martell,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Jasper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w:t>
      </w:r>
      <w:r>
        <w:rPr>
          <w:rFonts w:ascii="Arial" w:cs="Arial" w:eastAsia="Arial" w:hAnsi="Arial"/>
          <w:sz w:val="18"/>
          <w:szCs w:val="18"/>
          <w:color w:val="auto"/>
        </w:rPr>
        <w:t xml:space="preserve"> Ronald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Ronald Martell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2022</w:t>
      </w:r>
    </w:p>
    <w:p>
      <w:pPr>
        <w:sectPr>
          <w:pgSz w:w="11900" w:h="16838" w:orient="portrait"/>
          <w:cols w:equalWidth="0" w:num="1">
            <w:col w:w="11240"/>
          </w:cols>
          <w:pgMar w:left="320" w:top="121"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Jeet Mahal,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Jasper Therapeutics,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w:t>
      </w:r>
      <w:r>
        <w:rPr>
          <w:rFonts w:ascii="Arial" w:cs="Arial" w:eastAsia="Arial" w:hAnsi="Arial"/>
          <w:sz w:val="18"/>
          <w:szCs w:val="18"/>
          <w:color w:val="auto"/>
        </w:rPr>
        <w:t xml:space="preserve"> Jeet Mahal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Jeet Mahal</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and Business Officer and Corporate</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2022</w:t>
      </w:r>
    </w:p>
    <w:p>
      <w:pPr>
        <w:sectPr>
          <w:pgSz w:w="11900" w:h="16838" w:orient="portrait"/>
          <w:cols w:equalWidth="0" w:num="1">
            <w:col w:w="11240"/>
          </w:cols>
          <w:pgMar w:left="320" w:top="121" w:right="339" w:bottom="1440" w:gutter="0" w:footer="0" w:header="0"/>
        </w:sectPr>
      </w:pPr>
    </w:p>
    <w:bookmarkStart w:id="168" w:name="page169"/>
    <w:bookmarkEnd w:id="16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In connection with the Annual Report on Form 10-K of Jasper Therapeutics, Inc. (the “Company”) for the period ended December 31, 2021 as filed with the Securities and Exchange Commission on the date hereof (the “Report”), the undersigned hereby certify, pursuant to 18 U.S.C. Section 1350, as adopted pursuant to Section 906 of the Sarbanes-Oxley Act of 2002, to their knowledge that:</w:t>
      </w:r>
    </w:p>
    <w:p>
      <w:pPr>
        <w:spacing w:after="0" w:line="184"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Ronald Martell</w:t>
            </w:r>
          </w:p>
        </w:tc>
        <w:tc>
          <w:tcPr>
            <w:tcW w:w="2680" w:type="dxa"/>
            <w:vAlign w:val="bottom"/>
          </w:tcPr>
          <w:p>
            <w:pPr>
              <w:ind w:left="22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Jeet Mahal</w:t>
            </w:r>
          </w:p>
        </w:tc>
      </w:tr>
      <w:tr>
        <w:trPr>
          <w:trHeight w:val="202"/>
        </w:trPr>
        <w:tc>
          <w:tcPr>
            <w:tcW w:w="460" w:type="dxa"/>
            <w:vAlign w:val="bottom"/>
          </w:tcPr>
          <w:p>
            <w:pPr>
              <w:spacing w:after="0"/>
              <w:rPr>
                <w:sz w:val="17"/>
                <w:szCs w:val="17"/>
                <w:color w:val="auto"/>
              </w:rPr>
            </w:pPr>
          </w:p>
        </w:tc>
        <w:tc>
          <w:tcPr>
            <w:tcW w:w="4060" w:type="dxa"/>
            <w:vAlign w:val="bottom"/>
          </w:tcPr>
          <w:p>
            <w:pPr>
              <w:jc w:val="center"/>
              <w:spacing w:after="0" w:line="201" w:lineRule="exact"/>
              <w:rPr>
                <w:sz w:val="20"/>
                <w:szCs w:val="20"/>
                <w:color w:val="auto"/>
              </w:rPr>
            </w:pPr>
            <w:r>
              <w:rPr>
                <w:rFonts w:ascii="Arial" w:cs="Arial" w:eastAsia="Arial" w:hAnsi="Arial"/>
                <w:sz w:val="18"/>
                <w:szCs w:val="18"/>
                <w:color w:val="auto"/>
                <w:w w:val="94"/>
              </w:rPr>
              <w:t>Ronald Martell</w:t>
            </w:r>
          </w:p>
        </w:tc>
        <w:tc>
          <w:tcPr>
            <w:tcW w:w="2680" w:type="dxa"/>
            <w:vAlign w:val="bottom"/>
          </w:tcPr>
          <w:p>
            <w:pPr>
              <w:spacing w:after="0"/>
              <w:rPr>
                <w:sz w:val="17"/>
                <w:szCs w:val="17"/>
                <w:color w:val="auto"/>
              </w:rPr>
            </w:pPr>
          </w:p>
        </w:tc>
        <w:tc>
          <w:tcPr>
            <w:tcW w:w="4040" w:type="dxa"/>
            <w:vAlign w:val="bottom"/>
          </w:tcPr>
          <w:p>
            <w:pPr>
              <w:jc w:val="center"/>
              <w:spacing w:after="0" w:line="201" w:lineRule="exact"/>
              <w:rPr>
                <w:sz w:val="20"/>
                <w:szCs w:val="20"/>
                <w:color w:val="auto"/>
              </w:rPr>
            </w:pPr>
            <w:r>
              <w:rPr>
                <w:rFonts w:ascii="Arial" w:cs="Arial" w:eastAsia="Arial" w:hAnsi="Arial"/>
                <w:sz w:val="18"/>
                <w:szCs w:val="18"/>
                <w:color w:val="auto"/>
                <w:w w:val="90"/>
              </w:rPr>
              <w:t>Jeet Mahal</w:t>
            </w: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Chief Financial and Business Officer and Corporate</w:t>
            </w:r>
          </w:p>
        </w:tc>
      </w:tr>
      <w:tr>
        <w:trPr>
          <w:trHeight w:val="216"/>
        </w:trPr>
        <w:tc>
          <w:tcPr>
            <w:tcW w:w="46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c>
          <w:tcPr>
            <w:tcW w:w="268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88"/>
              </w:rPr>
              <w:t>Secretary</w:t>
            </w:r>
          </w:p>
        </w:tc>
      </w:tr>
      <w:tr>
        <w:trPr>
          <w:trHeight w:val="216"/>
        </w:trPr>
        <w:tc>
          <w:tcPr>
            <w:tcW w:w="46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268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230"/>
        </w:trPr>
        <w:tc>
          <w:tcPr>
            <w:tcW w:w="4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March 18, 2022</w:t>
            </w:r>
          </w:p>
        </w:tc>
        <w:tc>
          <w:tcPr>
            <w:tcW w:w="26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March 18, 2022</w:t>
            </w:r>
          </w:p>
        </w:tc>
      </w:tr>
    </w:tbl>
    <w:p>
      <w:pPr>
        <w:spacing w:after="0" w:line="200" w:lineRule="exact"/>
        <w:rPr>
          <w:sz w:val="20"/>
          <w:szCs w:val="20"/>
          <w:color w:val="auto"/>
        </w:rPr>
      </w:pPr>
    </w:p>
    <w:p>
      <w:pPr>
        <w:spacing w:after="0" w:line="218"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lvl w:ilvl="1">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upperLetter"/>
      <w:start w:val="2"/>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lvl w:ilvl="1">
      <w:lvlJc w:val="left"/>
      <w:lvlText w:val="●"/>
      <w:numFmt w:val="bullet"/>
      <w:start w:val="1"/>
    </w:lvl>
  </w:abstractNum>
  <w:abstractNum w:abstractNumId="14">
    <w:nsid w:val="6A2342EC"/>
    <w:multiLevelType w:val="hybridMultilevel"/>
    <w:lvl w:ilvl="0">
      <w:lvlJc w:val="left"/>
      <w:lvlText w:val="●"/>
      <w:numFmt w:val="bullet"/>
      <w:start w:val="1"/>
    </w:lvl>
    <w:lvl w:ilvl="1">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lowerRoman"/>
      <w:start w:val="2"/>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decimal"/>
      <w:start w:val="302"/>
    </w:lvl>
  </w:abstractNum>
  <w:abstractNum w:abstractNumId="59">
    <w:nsid w:val="2F305DEF"/>
    <w:multiLevelType w:val="hybridMultilevel"/>
    <w:lvl w:ilvl="0">
      <w:lvlJc w:val="left"/>
      <w:lvlText w:val="(%1)"/>
      <w:numFmt w:val="decimal"/>
      <w:start w:val="2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187" Type="http://schemas.openxmlformats.org/officeDocument/2006/relationships/hyperlink" Target="http://www.sec.gov/Archives/edgar/data/1788028/000121390021024792/ea140401ex2-1_amplitude.htm" TargetMode="External"/><Relationship Id="rId188" Type="http://schemas.openxmlformats.org/officeDocument/2006/relationships/hyperlink" Target="http://www.sec.gov/Archives/edgar/data/1788028/000121390021050592/ea147929ex3-1_jasper.htm" TargetMode="External"/><Relationship Id="rId189" Type="http://schemas.openxmlformats.org/officeDocument/2006/relationships/hyperlink" Target="http://www.sec.gov/Archives/edgar/data/1788028/000121390021050592/ea147929ex3-2_jasper.htm" TargetMode="External"/><Relationship Id="rId190" Type="http://schemas.openxmlformats.org/officeDocument/2006/relationships/hyperlink" Target="http://www.sec.gov/Archives/edgar/data/1788028/000121390019024606/f8k1119ex4-1_amplitude.htm" TargetMode="External"/><Relationship Id="rId191" Type="http://schemas.openxmlformats.org/officeDocument/2006/relationships/hyperlink" Target="http://www.sec.gov/Archives/edgar/data/1788028/000121390019022224/fs12019a1ex4-3_amplitude.htm" TargetMode="External"/><Relationship Id="rId192" Type="http://schemas.openxmlformats.org/officeDocument/2006/relationships/hyperlink" Target="http://www.sec.gov/Archives/edgar/data/1788028/000121390021024792/ea140401ex10-1_amplitude.htm" TargetMode="External"/><Relationship Id="rId193" Type="http://schemas.openxmlformats.org/officeDocument/2006/relationships/hyperlink" Target="http://www.sec.gov/Archives/edgar/data/1788028/000121390021024792/ea140401ex10-2_amplitude.htm" TargetMode="External"/><Relationship Id="rId194" Type="http://schemas.openxmlformats.org/officeDocument/2006/relationships/hyperlink" Target="http://www.sec.gov/Archives/edgar/data/1788028/000121390021024792/ea140401ex10-3_amplitude.htm" TargetMode="External"/><Relationship Id="rId195" Type="http://schemas.openxmlformats.org/officeDocument/2006/relationships/hyperlink" Target="http://www.sec.gov/Archives/edgar/data/1788028/000121390021024792/ea140401ex10-4_amplitude.htm" TargetMode="External"/><Relationship Id="rId196" Type="http://schemas.openxmlformats.org/officeDocument/2006/relationships/hyperlink" Target="http://www.sec.gov/Archives/edgar/data/1788028/000121390021050592/ea147929ex10-5_jasper.htm" TargetMode="External"/><Relationship Id="rId197" Type="http://schemas.openxmlformats.org/officeDocument/2006/relationships/hyperlink" Target="http://www.sec.gov/Archives/edgar/data/1788028/000121390021050592/ea147929ex10-6_jasper.htm" TargetMode="External"/><Relationship Id="rId198" Type="http://schemas.openxmlformats.org/officeDocument/2006/relationships/hyperlink" Target="http://www.sec.gov/Archives/edgar/data/1788028/000121390021050592/ea147929ex10-7_jasper.htm" TargetMode="External"/><Relationship Id="rId199" Type="http://schemas.openxmlformats.org/officeDocument/2006/relationships/hyperlink" Target="http://www.sec.gov/Archives/edgar/data/1788028/000121390021050592/ea147929ex10-8_jasper.htm" TargetMode="External"/><Relationship Id="rId200" Type="http://schemas.openxmlformats.org/officeDocument/2006/relationships/hyperlink" Target="http://www.sec.gov/Archives/edgar/data/1788028/000121390021050592/ea147929ex10-9_jasper.htm" TargetMode="External"/><Relationship Id="rId201" Type="http://schemas.openxmlformats.org/officeDocument/2006/relationships/hyperlink" Target="http://www.sec.gov/Archives/edgar/data/1788028/000121390021037334/fs42021a1ex10-11_amplitude.htm" TargetMode="External"/><Relationship Id="rId202" Type="http://schemas.openxmlformats.org/officeDocument/2006/relationships/hyperlink" Target="http://www.sec.gov/Archives/edgar/data/1788028/000121390021037334/fs42021a1ex10-12_amplitude.htm" TargetMode="External"/><Relationship Id="rId203" Type="http://schemas.openxmlformats.org/officeDocument/2006/relationships/hyperlink" Target="http://www.sec.gov/Archives/edgar/data/1788028/000121390021037334/fs42021a1ex10-28_amplitude.htm" TargetMode="External"/><Relationship Id="rId204" Type="http://schemas.openxmlformats.org/officeDocument/2006/relationships/hyperlink" Target="http://www.sec.gov/Archives/edgar/data/1788028/000121390021050592/ea147929ex10-14_jasper.htm" TargetMode="External"/><Relationship Id="rId205" Type="http://schemas.openxmlformats.org/officeDocument/2006/relationships/hyperlink" Target="http://www.sec.gov/Archives/edgar/data/1788028/000121390021037334/fs42021a1ex10-29_amplitude.htm" TargetMode="External"/><Relationship Id="rId206" Type="http://schemas.openxmlformats.org/officeDocument/2006/relationships/hyperlink" Target="http://www.sec.gov/Archives/edgar/data/1788028/000121390021040851/fs42021a2ex10-13_amplitude.htm" TargetMode="External"/><Relationship Id="rId207" Type="http://schemas.openxmlformats.org/officeDocument/2006/relationships/hyperlink" Target="http://www.sec.gov/Archives/edgar/data/1788028/000121390021040851/fs42021a2ex10-14_amplitude.htm" TargetMode="External"/><Relationship Id="rId208" Type="http://schemas.openxmlformats.org/officeDocument/2006/relationships/hyperlink" Target="http://www.sec.gov/Archives/edgar/data/1788028/000121390021040851/fs42021a2ex10-15_amplitude.htm" TargetMode="External"/><Relationship Id="rId209" Type="http://schemas.openxmlformats.org/officeDocument/2006/relationships/hyperlink" Target="http://www.sec.gov/Archives/edgar/data/1788028/000121390021040851/fs42021a2ex10-16_amplitude.htm" TargetMode="External"/><Relationship Id="rId210" Type="http://schemas.openxmlformats.org/officeDocument/2006/relationships/hyperlink" Target="http://www.sec.gov/Archives/edgar/data/1788028/000121390021040851/fs42021a2ex10-17_amplitude.htm" TargetMode="External"/><Relationship Id="rId211" Type="http://schemas.openxmlformats.org/officeDocument/2006/relationships/hyperlink" Target="https://www.sec.gov/Archives/edgar/data/1788028/000121390021040851/fs42021a2ex10-18_amplitude.htm" TargetMode="External"/><Relationship Id="rId212" Type="http://schemas.openxmlformats.org/officeDocument/2006/relationships/hyperlink" Target="http://www.sec.gov/Archives/edgar/data/1788028/000121390021040851/fs42021a2ex10-19_amplitude.htm" TargetMode="External"/><Relationship Id="rId213" Type="http://schemas.openxmlformats.org/officeDocument/2006/relationships/hyperlink" Target="http://www.sec.gov/Archives/edgar/data/1788028/000121390021040851/fs42021a2ex10-20_amplitude.htm" TargetMode="External"/><Relationship Id="rId214" Type="http://schemas.openxmlformats.org/officeDocument/2006/relationships/hyperlink" Target="http://www.sec.gov/Archives/edgar/data/1788028/000121390021044097/fs42021a3ex10-25_amplitude.htm" TargetMode="External"/><Relationship Id="rId215" Type="http://schemas.openxmlformats.org/officeDocument/2006/relationships/hyperlink" Target="http://www.sec.gov/Archives/edgar/data/1788028/000121390021044097/fs42021a3ex10-26_amplitude.htm" TargetMode="External"/><Relationship Id="rId216" Type="http://schemas.openxmlformats.org/officeDocument/2006/relationships/hyperlink" Target="http://www.sec.gov/Archives/edgar/data/1788028/000121390021044097/fs42021a3ex10-27_amplitude.htm" TargetMode="External"/><Relationship Id="rId217" Type="http://schemas.openxmlformats.org/officeDocument/2006/relationships/hyperlink" Target="http://www.sec.gov/Archives/edgar/data/1788028/000121390021055431/ea149564ex10-1_jaspertherap.htm" TargetMode="External"/><Relationship Id="rId218" Type="http://schemas.openxmlformats.org/officeDocument/2006/relationships/hyperlink" Target="http://www.sec.gov/Archives/edgar/data/1788028/000121390021050592/ea147929ex21-1_jasp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2022-03-18T15:23:45Z</dcterms:created>
  <dcterms:modified xsi:type="dcterms:W3CDTF">2022-03-18T15:23:45Z</dcterms:modified>
</cp:coreProperties>
</file>