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Jasper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Voting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Adam Morgan</w:t>
              <w:br/>
              <w:t>Velan Capital Investment Management LP, 100 North Main Street, Suite 301</w:t>
              <w:br/>
              <w:t>Alpharetta, GA, 30009</w:t>
              <w:br/>
              <w:t>646-844-0030</w:t>
            </w:r>
          </w:p>
          <w:p>
            <w:pPr>
              <w:pStyle w:val="TableContents"/>
              <w:bidi w:val="0"/>
              <w:jc w:val="left"/>
              <w:rPr/>
            </w:pPr>
            <w:r>
              <w:rPr/>
            </w:r>
          </w:p>
          <w:p>
            <w:pPr>
              <w:pStyle w:val="TableContents"/>
              <w:bidi w:val="0"/>
              <w:spacing w:before="0" w:after="0"/>
              <w:jc w:val="center"/>
              <w:rPr>
                <w:b/>
                <w:color w:val="0000FF"/>
              </w:rPr>
            </w:pPr>
            <w:r>
              <w:rPr>
                <w:b/>
                <w:color w:val="0000FF"/>
              </w:rPr>
              <w:t>Ryan Nebel</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Velan Capital Master Fund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3,021,915.00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3,021,915.00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3,021,915.00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Velan Capital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3,021,915.00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3,021,915.00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3,021,915.00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Velan Horizon Fund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82,304.00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82,304.00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82,304.00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Velan Horizon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82,304.00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82,304.00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82,304.00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Avego Healthcare Capital,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 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245,328.00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245,328.00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245,328.00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Avego Healthcare Capital Holdings,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245,328.00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245,328.00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245,328.00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Avego Management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245,328.00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245,328.00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245,328.00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Velan Capital Investment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3,349,547.00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3,349,547.00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3,349,547.00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Velan Capital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3,349,547.00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3,349,547.00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3,349,547.00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Morgan Adam</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3,349,547.00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3,349,547.00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3,349,547.00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48"/>
        <w:gridCol w:w="7957"/>
      </w:tblGrid>
      <w:tr>
        <w:trPr/>
        <w:tc>
          <w:tcPr>
            <w:tcW w:w="2248" w:type="dxa"/>
            <w:tcBorders/>
            <w:vAlign w:val="center"/>
          </w:tcPr>
          <w:p>
            <w:pPr>
              <w:pStyle w:val="TableContents"/>
              <w:bidi w:val="0"/>
              <w:spacing w:before="0" w:after="283"/>
              <w:jc w:val="left"/>
              <w:rPr/>
            </w:pPr>
            <w:r>
              <w:rPr/>
              <w:t>1</w:t>
            </w:r>
          </w:p>
        </w:tc>
        <w:tc>
          <w:tcPr>
            <w:tcW w:w="795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VENKATARAMAN BALAJI</w:t>
            </w:r>
          </w:p>
        </w:tc>
      </w:tr>
      <w:tr>
        <w:trPr/>
        <w:tc>
          <w:tcPr>
            <w:tcW w:w="2248" w:type="dxa"/>
            <w:tcBorders/>
            <w:vAlign w:val="center"/>
          </w:tcPr>
          <w:p>
            <w:pPr>
              <w:pStyle w:val="TableContents"/>
              <w:bidi w:val="0"/>
              <w:spacing w:before="0" w:after="283"/>
              <w:jc w:val="left"/>
              <w:rPr/>
            </w:pPr>
            <w:r>
              <w:rPr/>
              <w:t>2</w:t>
            </w:r>
          </w:p>
        </w:tc>
        <w:tc>
          <w:tcPr>
            <w:tcW w:w="795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248" w:type="dxa"/>
            <w:tcBorders/>
            <w:vAlign w:val="center"/>
          </w:tcPr>
          <w:p>
            <w:pPr>
              <w:pStyle w:val="TableContents"/>
              <w:bidi w:val="0"/>
              <w:spacing w:before="0" w:after="283"/>
              <w:jc w:val="left"/>
              <w:rPr/>
            </w:pPr>
            <w:r>
              <w:rPr/>
              <w:t>3</w:t>
            </w:r>
          </w:p>
        </w:tc>
        <w:tc>
          <w:tcPr>
            <w:tcW w:w="7957" w:type="dxa"/>
            <w:tcBorders/>
            <w:vAlign w:val="center"/>
          </w:tcPr>
          <w:p>
            <w:pPr>
              <w:pStyle w:val="TableContents"/>
              <w:bidi w:val="0"/>
              <w:spacing w:before="0" w:after="283"/>
              <w:jc w:val="left"/>
              <w:rPr/>
            </w:pPr>
            <w:r>
              <w:rPr/>
              <w:t>SEC use only</w:t>
            </w:r>
          </w:p>
        </w:tc>
      </w:tr>
      <w:tr>
        <w:trPr/>
        <w:tc>
          <w:tcPr>
            <w:tcW w:w="2248" w:type="dxa"/>
            <w:tcBorders/>
            <w:vAlign w:val="center"/>
          </w:tcPr>
          <w:p>
            <w:pPr>
              <w:pStyle w:val="TableContents"/>
              <w:bidi w:val="0"/>
              <w:spacing w:before="0" w:after="283"/>
              <w:jc w:val="left"/>
              <w:rPr/>
            </w:pPr>
            <w:r>
              <w:rPr/>
              <w:t>4</w:t>
            </w:r>
          </w:p>
        </w:tc>
        <w:tc>
          <w:tcPr>
            <w:tcW w:w="795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48" w:type="dxa"/>
            <w:tcBorders/>
            <w:vAlign w:val="center"/>
          </w:tcPr>
          <w:p>
            <w:pPr>
              <w:pStyle w:val="TableContents"/>
              <w:bidi w:val="0"/>
              <w:spacing w:before="0" w:after="283"/>
              <w:jc w:val="left"/>
              <w:rPr/>
            </w:pPr>
            <w:r>
              <w:rPr/>
              <w:t>5</w:t>
            </w:r>
          </w:p>
        </w:tc>
        <w:tc>
          <w:tcPr>
            <w:tcW w:w="795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248" w:type="dxa"/>
            <w:tcBorders/>
            <w:vAlign w:val="center"/>
          </w:tcPr>
          <w:p>
            <w:pPr>
              <w:pStyle w:val="TableContents"/>
              <w:bidi w:val="0"/>
              <w:spacing w:before="0" w:after="283"/>
              <w:jc w:val="left"/>
              <w:rPr/>
            </w:pPr>
            <w:r>
              <w:rPr/>
              <w:t>6</w:t>
            </w:r>
          </w:p>
        </w:tc>
        <w:tc>
          <w:tcPr>
            <w:tcW w:w="795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4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3,349,547.00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3,349,547.00</w:t>
                  </w:r>
                </w:p>
              </w:tc>
            </w:tr>
          </w:tbl>
          <w:p>
            <w:pPr>
              <w:pStyle w:val="TableContents"/>
              <w:bidi w:val="0"/>
              <w:spacing w:before="0" w:after="283"/>
              <w:jc w:val="left"/>
              <w:rPr/>
            </w:pPr>
            <w:r>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283"/>
              <w:jc w:val="left"/>
              <w:rPr/>
            </w:pPr>
            <w:r>
              <w:rPr/>
              <w:t>11</w:t>
            </w:r>
          </w:p>
        </w:tc>
        <w:tc>
          <w:tcPr>
            <w:tcW w:w="795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3,349,547.00</w:t>
            </w:r>
          </w:p>
        </w:tc>
      </w:tr>
      <w:tr>
        <w:trPr/>
        <w:tc>
          <w:tcPr>
            <w:tcW w:w="2248" w:type="dxa"/>
            <w:tcBorders/>
            <w:vAlign w:val="center"/>
          </w:tcPr>
          <w:p>
            <w:pPr>
              <w:pStyle w:val="TableContents"/>
              <w:bidi w:val="0"/>
              <w:spacing w:before="0" w:after="283"/>
              <w:jc w:val="left"/>
              <w:rPr/>
            </w:pPr>
            <w:r>
              <w:rPr/>
              <w:t>12</w:t>
            </w:r>
          </w:p>
        </w:tc>
        <w:tc>
          <w:tcPr>
            <w:tcW w:w="795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248" w:type="dxa"/>
            <w:tcBorders/>
            <w:vAlign w:val="center"/>
          </w:tcPr>
          <w:p>
            <w:pPr>
              <w:pStyle w:val="TableContents"/>
              <w:bidi w:val="0"/>
              <w:spacing w:before="0" w:after="283"/>
              <w:jc w:val="left"/>
              <w:rPr/>
            </w:pPr>
            <w:r>
              <w:rPr/>
              <w:t>13</w:t>
            </w:r>
          </w:p>
        </w:tc>
        <w:tc>
          <w:tcPr>
            <w:tcW w:w="795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9.88 % </w:t>
            </w:r>
          </w:p>
        </w:tc>
      </w:tr>
      <w:tr>
        <w:trPr/>
        <w:tc>
          <w:tcPr>
            <w:tcW w:w="2248" w:type="dxa"/>
            <w:tcBorders/>
            <w:vAlign w:val="center"/>
          </w:tcPr>
          <w:p>
            <w:pPr>
              <w:pStyle w:val="TableContents"/>
              <w:bidi w:val="0"/>
              <w:spacing w:before="0" w:after="283"/>
              <w:jc w:val="left"/>
              <w:rPr/>
            </w:pPr>
            <w:r>
              <w:rPr/>
              <w:t>14</w:t>
            </w:r>
          </w:p>
        </w:tc>
        <w:tc>
          <w:tcPr>
            <w:tcW w:w="795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Kapoor Vishal</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35,013.00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35,013.00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35,013.00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item1to7"/>
      <w:bookmarkStart w:id="55" w:name="item1to7"/>
      <w:bookmarkEnd w:id="55"/>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Item 1.</w:t>
            </w:r>
          </w:p>
        </w:tc>
        <w:tc>
          <w:tcPr>
            <w:tcW w:w="9032" w:type="dxa"/>
            <w:tcBorders/>
            <w:vAlign w:val="center"/>
          </w:tcPr>
          <w:p>
            <w:pPr>
              <w:pStyle w:val="TableContents"/>
              <w:bidi w:val="0"/>
              <w:spacing w:before="0" w:after="283"/>
              <w:jc w:val="left"/>
              <w:rPr/>
            </w:pPr>
            <w:r>
              <w:rPr/>
              <w:t>Security and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Voting Common Stock, par value $0.0001 per share</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jc w:val="left"/>
              <w:rPr/>
            </w:pPr>
            <w:r>
              <w:rPr/>
              <w:t xml:space="preserve">Name of Issuer: </w:t>
            </w:r>
          </w:p>
          <w:p>
            <w:pPr>
              <w:pStyle w:val="TableContents"/>
              <w:bidi w:val="0"/>
              <w:spacing w:before="0" w:after="0"/>
              <w:jc w:val="left"/>
              <w:rPr/>
            </w:pPr>
            <w:r>
              <w:rPr/>
              <w:t>Jasper Therapeutics, Inc.</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2200 BRIDGE PKWY SUITE #102, REDWOOD CITY, CALIFORNIA , 94065.</w:t>
            </w:r>
          </w:p>
        </w:tc>
      </w:tr>
      <w:tr>
        <w:trPr/>
        <w:tc>
          <w:tcPr>
            <w:tcW w:w="1173" w:type="dxa"/>
            <w:tcBorders/>
            <w:vAlign w:val="center"/>
          </w:tcPr>
          <w:p>
            <w:pPr>
              <w:pStyle w:val="TableContents"/>
              <w:bidi w:val="0"/>
              <w:spacing w:before="0" w:after="283"/>
              <w:jc w:val="left"/>
              <w:rPr/>
            </w:pPr>
            <w:r>
              <w:rPr/>
              <w:t>Item 3.</w:t>
            </w:r>
          </w:p>
        </w:tc>
        <w:tc>
          <w:tcPr>
            <w:tcW w:w="9032" w:type="dxa"/>
            <w:tcBorders/>
            <w:vAlign w:val="center"/>
          </w:tcPr>
          <w:p>
            <w:pPr>
              <w:pStyle w:val="TableContents"/>
              <w:bidi w:val="0"/>
              <w:spacing w:before="0" w:after="283"/>
              <w:jc w:val="left"/>
              <w:rPr/>
            </w:pPr>
            <w:r>
              <w:rPr/>
              <w:t>Source and Amount of Funds or Other Consideration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Item 3 is hereby amended and restated to read as follows: The Shares beneficially owned directly by Velan Master were purchased with working capital (which may, at any given time, include margin loans made by brokerage firms in the ordinary course of business). The aggregate purchase price of the 2,381,915 Shares beneficially owned by Velan Master is approximately $23,133,322, including brokerage commissions. Velan Master also owns 1,193,415 Warrants (as defined in Amendment No. 2 to the Schedule 13D), which were acquired pursuant to the 2025 Offering (as defined in Amendment No. 2 to the Schedule 13D). The Shares beneficially owned directly by Velan Horizon were purchased with working capital (which may, at any given time, include margin loans made by brokerage firms in the ordinary course of business). The aggregate purchase price of the 41,152 Shares beneficially owned by Velan Horizon is approximately $94,855, including brokerage commissions. Velan Horizon also owns 41,152 Warrants, which were acquired pursuant to the 2025 Offering. The Shares beneficially owned directly by Avego Fund were purchased with working capital (which may, at any given time, include margin loans made by brokerage firms in the ordinary course of business). The aggregate purchase price of the 245,328 Shares beneficially owned by Avego Fund is approximately $21,512,500, including brokerage commissions. Of the 35,013 Shares beneficially owned directly by Mr. Kapoor, (i) 4,375 Shares were granted to him in connection with the closing of the Business Combination Agreement (as defined in the initial Schedule 13D) in relation to his position as President of Amplitude Healthcare Acquisition Corporation at the time and (ii) 30,638 Shares are issuable upon the exercise of stock options that were awarded to him by the Issuer in connection with his service as a director.</w:t>
            </w:r>
          </w:p>
        </w:tc>
      </w:tr>
      <w:tr>
        <w:trPr/>
        <w:tc>
          <w:tcPr>
            <w:tcW w:w="1173" w:type="dxa"/>
            <w:tcBorders/>
            <w:vAlign w:val="center"/>
          </w:tcPr>
          <w:p>
            <w:pPr>
              <w:pStyle w:val="TableContents"/>
              <w:bidi w:val="0"/>
              <w:spacing w:before="0" w:after="283"/>
              <w:jc w:val="left"/>
              <w:rPr/>
            </w:pPr>
            <w:r>
              <w:rPr/>
              <w:t>Item 4.</w:t>
            </w:r>
          </w:p>
        </w:tc>
        <w:tc>
          <w:tcPr>
            <w:tcW w:w="9032" w:type="dxa"/>
            <w:tcBorders/>
            <w:vAlign w:val="center"/>
          </w:tcPr>
          <w:p>
            <w:pPr>
              <w:pStyle w:val="TableContents"/>
              <w:bidi w:val="0"/>
              <w:spacing w:before="0" w:after="283"/>
              <w:jc w:val="left"/>
              <w:rPr/>
            </w:pPr>
            <w:r>
              <w:rPr/>
              <w:t>Purpose of Transaction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Item 4 is hereby amended to add the following: On July 16, 2026, the Issuer acquired Kira Pharmaceuticals ("Kira"), a Cayman Islands exempted company, in accordance with the terms of the Agreement and Plan of Merger, dated July 16, 2026 (the "Merger Agreement"), by and among the Issuer, Kira and Kira Holdco Inc., a Delaware corporation and a wholly owned subsidiary of the Issuer ("Merger Sub"). Pursuant to the Merger Agreement, Kira merged with and into Merger Sub, with Merger Sub continuing as the surviving corporation and a wholly owned subsidiary of the Issuer (the "Merger"). In accordance with the Merger Agreement, on July 16, 2026, Vishal Kapoor notified the Board of his resignation, effective immediately after the Effective Time (as defined in the Merger Agreement).</w:t>
            </w:r>
          </w:p>
        </w:tc>
      </w:tr>
      <w:tr>
        <w:trPr/>
        <w:tc>
          <w:tcPr>
            <w:tcW w:w="1173" w:type="dxa"/>
            <w:tcBorders/>
            <w:vAlign w:val="center"/>
          </w:tcPr>
          <w:p>
            <w:pPr>
              <w:pStyle w:val="TableContents"/>
              <w:bidi w:val="0"/>
              <w:spacing w:before="0" w:after="283"/>
              <w:jc w:val="left"/>
              <w:rPr/>
            </w:pPr>
            <w:r>
              <w:rPr/>
              <w:t>Item 5.</w:t>
            </w:r>
          </w:p>
        </w:tc>
        <w:tc>
          <w:tcPr>
            <w:tcW w:w="9032" w:type="dxa"/>
            <w:tcBorders/>
            <w:vAlign w:val="center"/>
          </w:tcPr>
          <w:p>
            <w:pPr>
              <w:pStyle w:val="TableContents"/>
              <w:bidi w:val="0"/>
              <w:spacing w:before="0" w:after="283"/>
              <w:jc w:val="left"/>
              <w:rPr/>
            </w:pPr>
            <w:r>
              <w:rPr/>
              <w:t>Interest in Securities of the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Item 5(a) is hereby amended and restated to read as follows: The aggregate percentage of Shares reported owned by each person named herein is based upon 33,204,811 Shares believed to be outstanding following the Merger, consisting of the (i) 28,009,802 Shares outstanding as of June 5, 2026, which is the total number of Shares outstanding as disclosed in the Issuer's Proxy Statement on Schedule 14A filed with the Securities and Exchange Commission on June 15, 2026, and (ii) 5,195,009 Shares issued following the closing of the Merger pursuant to the Merger Agreement, as disclosed in the Issuer's Current Report on Form 8-K filed with the Securities and Exchange Commission on July 17, 2026, plus the Shares underlying the Warrants that may be exercisable by the Reporting Persons, as applicable and subject to a 9.99% beneficial ownership blocker provision (the "Ownership Limitation"), and solely with respect to Mr. Kapoor, the Shares issuable upon the exercise of stock options that were awarded to him by the Issuer. As of the date hereof, Velan Master directly beneficially owns 3,021,915 Shares (including 640,000 Shares underlying certain Warrants), constituting approximately 8.9% of the Shares outstanding. Velan GP, as the general partner of Velan Master, may be deemed to beneficially own the 3,021,915 Shares owned by Velan Master, constituting approximately 8.9% of the Shares outstanding. As of the date hereof, Velan Horizon directly beneficially owns 82,304 Shares (including 41,152 Shares underlying certain Warrants), constituting approximately 0.2% of the Shares outstanding. Velan Horizon GP, as the general partner of Velan Horizon, may be deemed to beneficially own the 82,304 Shares owned by Velan Horizon, constituting approximately 0.2% of the Shares outstanding. As of the date hereof, Avego Fund directly beneficially owns 245,328 Shares, constituting approximately 0.7% of the Shares outstanding. Avego GP, as the general partner of Avego Fund, may be deemed to beneficially own the 245,328 Shares beneficially owned by Avego Fund, constituting approximately 0.7% of the Shares outstanding. Avego Management, as the co-investment manager of Avego Fund, may be deemed to beneficially own the 245,328 Shares beneficially owned by Avego Fund, constituting approximately 0.7% of the Shares outstanding. Velan Capital, as the investment manager of each of Velan Master and Velan Horizon and co-investment manager of Avego Fund, may be deemed to beneficially own the 3,349,547 Shares beneficially owned in the aggregate by Velan Master, Velan Horizon and Avego Fund, constituting approximately 9.88% of the Shares outstanding. Velan IM GP, as the general partner of Velan Capital, may be deemed to beneficially own the 3,349,547 Shares beneficially owned in the aggregate by Velan Master, Velan Horizon and Avego Fund, constituting approximately 9.88% of the Shares outstanding. Mr. Morgan, as the Chief Investment Officer of Velan Capital and a Managing Member of each of Velan GP, Velan Horizon GP and Velan IM GP, may be deemed to beneficially own the 3,349,547 Shares beneficially owned in the aggregate by Velan Master, Velan Horizon and Avego Fund, constituting approximately 9.88% of the Shares outstanding. Mr. Venkataraman, as the Managing Member of each of Avego GP and Avego Management and a Managing Member of each of Velan GP, Velan Horizon GP and Velan IM GP, may be deemed to beneficially own the 3,349,547 Shares beneficially owned in the aggregate by Velan Master, Velan Horizon and Avego Fund, constituting approximately 9.88% of the Shares outstanding. As of the date hereof, Mr. Kapoor directly beneficially owns 35,013 Shares, including 30,638 Shares underlying certain options, constituting approximately 0.1% of the outstanding Shares. If the Warrants were not subject to the Ownership Limitation, the Reporting Persons would collectively beneficially own an aggregate of 3,937,975 Shares (including 1,234,567 Shares underlying the Warrants and 30,638 Shares underlying certain options), constituting approximately 11.4% of the Shares outstanding. 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Item 5(c) is hereby amended and restated to read as follows: There have been no transactions in the securities of the Issuer by the Reporting Persons during the past 60 days.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signatureInfo"/>
      <w:bookmarkStart w:id="57" w:name="signatureInfo"/>
      <w:bookmarkEnd w:id="5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Velan Capital Master Fund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Adam Morgan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Adam Morgan, Managing Member of Velan Capital Holdings LLC,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Velan Capital Holdings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Adam Morgan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Adam Morgan,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Velan Horizon Fund LP</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Adam Morgan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Adam Morgan, Managing Member of Velan Horizon GP LLC,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Velan Horizon GP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Adam Morgan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Adam Morgan,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Avego Healthcare Capital,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9"/>
        <w:gridCol w:w="4146"/>
      </w:tblGrid>
      <w:tr>
        <w:trPr/>
        <w:tc>
          <w:tcPr>
            <w:tcW w:w="60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Balaji Venkataraman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Balaji Venkataraman, Managing Member of Avego Healthcare Capital Holdings,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146" w:type="dxa"/>
            <w:tcBorders/>
            <w:vAlign w:val="center"/>
          </w:tcPr>
          <w:p>
            <w:pPr>
              <w:pStyle w:val="TableContents"/>
              <w:bidi w:val="0"/>
              <w:spacing w:before="0" w:after="283"/>
              <w:jc w:val="left"/>
              <w:rPr>
                <w:sz w:val="4"/>
                <w:szCs w:val="4"/>
              </w:rPr>
            </w:pPr>
            <w:r>
              <w:rPr>
                <w:sz w:val="4"/>
                <w:szCs w:val="4"/>
              </w:rPr>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Avego Healthcare Capital Holdings, LLC</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Balaji Venkataraman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Balaji Venkataraman,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Avego Management LLC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7"/>
        <w:gridCol w:w="4148"/>
      </w:tblGrid>
      <w:tr>
        <w:trPr/>
        <w:tc>
          <w:tcPr>
            <w:tcW w:w="60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Balaji Venkataraman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Balaji Venkataraman,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Velan Capital Investment Management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Adam Morgan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Adam Morgan, Managing Member of Velan Capital Management LLC,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Velan Capital Management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Adam Morgan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Adam Morgan,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Morgan Adam</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1"/>
        <w:gridCol w:w="4414"/>
      </w:tblGrid>
      <w:tr>
        <w:trPr/>
        <w:tc>
          <w:tcPr>
            <w:tcW w:w="57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Adam Morgan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Adam Morgan</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14"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VENKATARAMAN BALAJI</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9"/>
        <w:gridCol w:w="4166"/>
      </w:tblGrid>
      <w:tr>
        <w:trPr/>
        <w:tc>
          <w:tcPr>
            <w:tcW w:w="60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Balaji Venkataraman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Balaji Venkataraman</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166"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Kapoor Vishal</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9"/>
        <w:gridCol w:w="4426"/>
      </w:tblGrid>
      <w:tr>
        <w:trPr/>
        <w:tc>
          <w:tcPr>
            <w:tcW w:w="57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Vishal Kapoor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Vishal Kapoor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3253</Words>
  <Characters>17237</Characters>
  <CharactersWithSpaces>20216</CharactersWithSpaces>
  <Paragraphs>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