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40" w:right="940" w:hanging="2992"/>
        <w:spacing w:after="0" w:line="490" w:lineRule="auto"/>
        <w:tabs>
          <w:tab w:leader="none" w:pos="116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2026</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160" w:right="940" w:hanging="2219"/>
        <w:spacing w:after="0" w:line="503" w:lineRule="auto"/>
        <w:tabs>
          <w:tab w:leader="none" w:pos="11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 to ______________</w:t>
      </w: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Commission File Number: 001-39138</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JASPER THERAPEUTICS, INC.</w:t>
            </w: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39"/>
        </w:trPr>
        <w:tc>
          <w:tcPr>
            <w:tcW w:w="4220" w:type="dxa"/>
            <w:vAlign w:val="bottom"/>
            <w:tcBorders>
              <w:bottom w:val="single" w:sz="8" w:color="auto"/>
            </w:tcBorders>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84-2984849</w:t>
            </w:r>
          </w:p>
        </w:tc>
      </w:tr>
      <w:tr>
        <w:trPr>
          <w:trHeight w:val="198"/>
        </w:trPr>
        <w:tc>
          <w:tcPr>
            <w:tcW w:w="4220" w:type="dxa"/>
            <w:vAlign w:val="bottom"/>
            <w:gridSpan w:val="3"/>
          </w:tcPr>
          <w:p>
            <w:pPr>
              <w:jc w:val="center"/>
              <w:ind w:left="12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2200 Bridge Pkwy Suite #102</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220" w:type="dxa"/>
            <w:vAlign w:val="bottom"/>
            <w:tcBorders>
              <w:bottom w:val="single" w:sz="8" w:color="auto"/>
            </w:tcBorders>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Redwood City, CA</w:t>
            </w:r>
          </w:p>
        </w:tc>
        <w:tc>
          <w:tcPr>
            <w:tcW w:w="13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94065</w:t>
            </w:r>
          </w:p>
        </w:tc>
      </w:tr>
      <w:tr>
        <w:trPr>
          <w:trHeight w:val="234"/>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421"/>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(650) 549-1400</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1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2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2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Voting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20" w:type="dxa"/>
            <w:vAlign w:val="bottom"/>
            <w:tcBorders>
              <w:top w:val="single" w:sz="8" w:color="auto"/>
            </w:tcBorders>
            <w:gridSpan w:val="3"/>
            <w:shd w:val="clear" w:color="auto" w:fill="CCEEFF"/>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rPr>
              <w:t>JSPR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20" w:type="dxa"/>
            <w:vAlign w:val="bottom"/>
            <w:gridSpan w:val="3"/>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share</w:t>
            </w: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220" w:type="dxa"/>
            <w:vAlign w:val="bottom"/>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ten warrants</w:t>
            </w:r>
          </w:p>
        </w:tc>
        <w:tc>
          <w:tcPr>
            <w:tcW w:w="3420" w:type="dxa"/>
            <w:vAlign w:val="bottom"/>
            <w:gridSpan w:val="4"/>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w w:val="99"/>
              </w:rPr>
              <w:t>JSPRW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exercisable for one share of Voting Common</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2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Stock at an exercise price of $115.00</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May 11, 2026, the number of shares of the registrant’s common stock outstanding was 27,996,819 shares of voting common stock, $0.0001 par value per share, and no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60" w:type="dxa"/>
            <w:vAlign w:val="bottom"/>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900" w:type="dxa"/>
            <w:vAlign w:val="bottom"/>
            <w:gridSpan w:val="12"/>
            <w:shd w:val="clear" w:color="auto" w:fill="CCEEFF"/>
          </w:tcPr>
          <w:p>
            <w:pPr>
              <w:jc w:val="center"/>
              <w:ind w:right="2260"/>
              <w:spacing w:after="0" w:line="162" w:lineRule="exact"/>
              <w:rPr>
                <w:sz w:val="20"/>
                <w:szCs w:val="20"/>
                <w:color w:val="auto"/>
              </w:rPr>
            </w:pPr>
            <w:r>
              <w:rPr>
                <w:rFonts w:ascii="Times New Roman" w:cs="Times New Roman" w:eastAsia="Times New Roman" w:hAnsi="Times New Roman"/>
                <w:sz w:val="18"/>
                <w:szCs w:val="18"/>
                <w:color w:val="0000EE"/>
                <w:w w:val="98"/>
              </w:rPr>
              <w:t>PART I. FINANCIAL INFORMATION</w:t>
            </w:r>
          </w:p>
        </w:tc>
        <w:tc>
          <w:tcPr>
            <w:tcW w:w="10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780" w:type="dxa"/>
            <w:vAlign w:val="bottom"/>
            <w:shd w:val="clear" w:color="auto" w:fill="CCEEFF"/>
          </w:tcPr>
          <w:p>
            <w:pPr>
              <w:spacing w:after="0"/>
              <w:rPr>
                <w:sz w:val="15"/>
                <w:szCs w:val="15"/>
                <w:color w:val="auto"/>
              </w:rPr>
            </w:pP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2026 and</w:t>
            </w:r>
          </w:p>
        </w:tc>
        <w:tc>
          <w:tcPr>
            <w:tcW w:w="1000" w:type="dxa"/>
            <w:vAlign w:val="bottom"/>
            <w:shd w:val="clear" w:color="auto" w:fill="CCEEFF"/>
          </w:tcPr>
          <w:p>
            <w:pPr>
              <w:spacing w:after="0"/>
              <w:rPr>
                <w:sz w:val="15"/>
                <w:szCs w:val="15"/>
                <w:color w:val="auto"/>
              </w:rPr>
            </w:pPr>
          </w:p>
        </w:tc>
      </w:tr>
      <w:tr>
        <w:trPr>
          <w:trHeight w:val="217"/>
        </w:trPr>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0000EE"/>
            </w:tcBorders>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0000EE"/>
              </w:rPr>
              <w:t>2025</w:t>
            </w:r>
          </w:p>
        </w:tc>
        <w:tc>
          <w:tcPr>
            <w:tcW w:w="30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140" w:type="dxa"/>
            <w:vAlign w:val="bottom"/>
            <w:tcBorders>
              <w:top w:val="single" w:sz="8" w:color="0000EE"/>
            </w:tcBorders>
            <w:shd w:val="clear" w:color="auto" w:fill="CCEEFF"/>
          </w:tcPr>
          <w:p>
            <w:pPr>
              <w:spacing w:after="0"/>
              <w:rPr>
                <w:sz w:val="18"/>
                <w:szCs w:val="18"/>
                <w:color w:val="auto"/>
              </w:rPr>
            </w:pPr>
          </w:p>
        </w:tc>
        <w:tc>
          <w:tcPr>
            <w:tcW w:w="6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2026 and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20" w:type="dxa"/>
            <w:vAlign w:val="bottom"/>
            <w:gridSpan w:val="11"/>
            <w:shd w:val="clear" w:color="auto" w:fill="CCEEFF"/>
          </w:tcPr>
          <w:p>
            <w:pPr>
              <w:jc w:val="center"/>
              <w:ind w:right="3140"/>
              <w:spacing w:after="0" w:line="176" w:lineRule="exact"/>
              <w:rPr>
                <w:sz w:val="20"/>
                <w:szCs w:val="20"/>
                <w:color w:val="auto"/>
              </w:rPr>
            </w:pPr>
            <w:r>
              <w:rPr>
                <w:rFonts w:ascii="Times New Roman" w:cs="Times New Roman" w:eastAsia="Times New Roman" w:hAnsi="Times New Roman"/>
                <w:sz w:val="18"/>
                <w:szCs w:val="18"/>
                <w:color w:val="0000EE"/>
                <w:w w:val="97"/>
              </w:rPr>
              <w:t>PART II. OTHER INFORMATION</w:t>
            </w:r>
          </w:p>
        </w:tc>
        <w:tc>
          <w:tcPr>
            <w:tcW w:w="10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JASPER THERAPEUTICS,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35,779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10,000,000 shares authorized at March 31, 2026 and December 31, 2025;</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 issued and outstanding at March 31, 2026 and December 31, 2025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 492,000,000 shares authorized at March 31, 2026 and December 31, 2025;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27,996,819 shares issued and outstanding at March 31, 2026 and December 31, 2025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321,241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(317,844)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(316,670)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5,814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16,157</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(10,952)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9,640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9,778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28,671,819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15,022,122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300" w:type="dxa"/>
            <w:vAlign w:val="bottom"/>
            <w:tcBorders>
              <w:bottom w:val="single" w:sz="8" w:color="auto"/>
            </w:tcBorders>
            <w:gridSpan w:val="3"/>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27,996,819</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320,818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(1,174)</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27,996,819</w:t>
            </w:r>
          </w:p>
        </w:tc>
        <w:tc>
          <w:tcPr>
            <w:tcW w:w="24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321,241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(317,844</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6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2300" w:type="dxa"/>
            <w:vAlign w:val="bottom"/>
            <w:tcBorders>
              <w:bottom w:val="single" w:sz="8" w:color="auto"/>
            </w:tcBorders>
            <w:gridSpan w:val="3"/>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15,022,122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302,541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(21,241)</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15,022,122</w:t>
            </w:r>
          </w:p>
        </w:tc>
        <w:tc>
          <w:tcPr>
            <w:tcW w:w="24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304,352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(262,110</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(9,640)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provided by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29,109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72,054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and non-cash items reconciliations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Jasper Therapeutics, Inc. and its consolidated subsidiary, Jasper Tx Corp. (collectively, “Jasper” or the “Company”), is a clinical-stage biotechnology company focused on developing therapeutics targeting mast cell driven diseases, such as chronic spontaneous urticaria, chronic inducible urticaria and asthma. Briquilimab has been evaluated in clinical studies in chronic spontaneous urticaria, chronic inducible urticaria and allergic asthma. The Company’s clinical development activities are currently focused on chronic urticarias, and while the clinical data generated in allergic asthma supports further development in the broader asthma population, advancing any future clinical studies in asthma would be based on an evaluation of the competitive landscape, the potential for strategic partnerships and capital availability. The Company has also historically explored diseases where targeting diseased hematopoietic stem cells can provide benefits, such as stem cell transplant conditioning regimens, but is currently focused on development of briquilimab in mast cell driven diseases.</w:t>
      </w:r>
    </w:p>
    <w:p>
      <w:pPr>
        <w:spacing w:after="0" w:line="1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is headquartered in Redwood City, California. The Company is a Delaware corporation and was incorporated in March 2018. In September 2021, the Company completed a merger with Amplitude Healthcare Acquisition Corporation and became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applicable rules and regulations of the U.S. Securities and Exchange Commission (the “SEC”) for financial reporting.</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financial statements are consolidated and include the accounts of Jasper Therapeutics, Inc. and its wholly-owned subsidiary, Jasper Tx Corp, which had no operations during the periods presented.</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such rules and regulations. Accordingly, these condensed consolidated financial statements should be read in conjunction with the audited financial statements and the related notes thereto for the year ended December 31, 2025 included in the Company’s Annual Report on the Form 10-K filed with the SEC on March 30, 2026. There were no changes to the Company’s significant accounting policies as described in the Annual Report on Form 10-K. The information as of December 31, 2025, included in the condensed consolidated balance sheets was derived from the Company’s audited financial statements. These unaudited interim condensed consolidated financial statements have been prepared on the same basis as the Company’s annual consolidated financial statements and, in the opinion of management, reflect all adjustments, which include only normal recurring adjustments necessary for a fair statement of the Company’s consolidated financial statements. The results of operations for the three months ended March 31, 2026 are not necessarily indicative of the results that may be expected for the year ending December 31, 2026 or for any other interim period or for any other future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Topic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evaluated whether there are conditions and events, considered in the aggregate, that raise substantial doubt about its ability to continue as a going concern within one year after the date that the condensed consolidated financial statements are issued. This evaluation initially does not take into consideration the potential mitigating effect of the Company’s plans that have not been fully implemented as of the date the financial statements are issued. When substantial doubt exists under this methodology, the Company evaluates whether the mitigating effect of its plans sufficiently alleviates substantial doubt about its ability to continue as a going concern. The mitigating effect of the Company’s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Company’s ability to continue as a going concern within one year after the date that the condensed consolidated financial statements are issued. In performing this analysis, the Company excluded certain elements of its operating plan that cannot be considered probable.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since its inception. During the three months ended March 31, 2026 and 2025, the Company incurred net losses of $1.2 million and $21.2 million, respectively. During the three months ended March 31, 2026 and 2025, the Company had negative cash flows from operations of $14.5 million and $22.8 million, respectively. As of March 31, 2026, the Company had an accumulated deficit of $317.8 million. The Company expects to continue to incur substantial losses, and its ability to achieve and sustain profitability will depend on the successful development, approval and commercialization of product candidates and on the achievement of sufficient revenues to support the Company’s cost structure. As of March 31, 2026, the Company had cash and cash equivalents of $14.1 million. The Company’s management expects that the existing cash and cash equivalents will not be sufficient to fund the Company’s operating plans for at least twelve months from the issuance date of these condensed consolidated financial statements. Accordingly, the Company has concluded that substantial doubt exists about its ability to continue as a going concern.</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Management expects to finance the Company’s future cash needs through equity or debt financings, collaborations or a combination of these approaches, and given the imminent need for additional funding to continue to fund operations in the near-term, the Company is actively seeking additional capital to extend the cash runway. However, due to several factors, including those outside management’s control, there can be no assurance that the Company will be able to complete additional financings. The Company’s ability to raise additional funds may be adversely impacted by negative global economic conditions and any disruptions to and volatility in the credit and financial markets in the United States and worldwide or other factors. There can be no assurance that the Company will be successful in acquiring additional funding at levels sufficient to fund its operations or on terms favorable or acceptable to the Company. The Company routinely evaluates cost reduction measures to proactively manage cash burn, but if the Company is unable to obtain adequate financing when needed or on terms favorable or acceptable to it, the Company may be forced to take broader actions such as to delay, reduce the scope of or eliminate one or more of its research and development programs. The Company concluded the likelihood that its plan to successfully obtain sufficient funding or adequately delay or reduce expenditures, while reasonably possible, is less than probable.</w:t>
      </w:r>
    </w:p>
    <w:p>
      <w:pPr>
        <w:spacing w:after="0" w:line="194"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on a going concern basis, which contemplates the realization of assets and satisfaction of liabilities in the ordinary course of business. These unaudited interim condensed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assumptions and judgements that affect the reported amounts of assets and liabilities and disclosure of contingent liabilities as of the date of the condensed consolidated financial statements and the reported amounts of income and expenses during the reporting periods. Significant estimates and assumptions made in the condensed consolidated financial statements include, but are not limited to, the determination of the accrued research and development expenses, the measurement of stock-based compensation expense and the valuation of warrant liability.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sheets that sum to the total amount shown in the condensed consolidated statements of cash flows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held in operating accounts and investments in money market funds. Restricted cash relates to the letter of credit secured in conjunction with the operating lease (Note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maintained with financial institutions in the United States of America. Cash balances are held at financial institutions and account balances may exceed federally insured limits. To date, the Company has not experienced any losses on its cash, cash equivalents and marketable securities’ balances and periodically evaluates the creditworthiness of its financial institutions.</w:t>
      </w:r>
    </w:p>
    <w:p>
      <w:pPr>
        <w:spacing w:after="0" w:line="17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development stage, including, but not limited to, development and regulatory approval of new product candidates, development of markets and distribution channels, dependence on key personnel, and the ability to obtain additional capital as needed to fund its product plans. To achieve profitable operations, the Company must successfully develop and obtain requisite regulatory approvals for, manufacture, and market its product candidates. There can be no assurance that any such product candidate can be developed and approved or manufactured at an acceptable cost and with appropriate performance characteristics, or that such product will be successfully marketed. These factors could have a material adverse effect on the Company’s future financial results.</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approval from the U.S. Food and Drug Administration (the “FDA”) or other international regulatory agencies prior to commercial sales. There can be no assurance that the Company’s future products will receive the necessary clearances. If the Company were denied such clearances or such clearances were delayed, it could have a materially adverse impact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ind w:right="20" w:firstLine="693"/>
        <w:spacing w:after="0" w:line="253"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financial statements at interim and annual reporting periods. In January 2025, the FASB issued ASU No. 2025-01, Income Statement - Reporting Comprehensive Income - Expense Disaggregation Disclosures (Subtopic 220-40): Clarifying the Effective Date (“ASU 2025-01”). The amendments do not change or remove current expense disclosure requirements; however, the amendments affect where such information appears in the notes to financial statements because entities are required to include certain current disclosures in the same tabular format disclosure as the other disaggregation requirements in the amendments. The amendments are effective for annual reporting periods beginning after December 15, 2026, and interim reporting periods beginning after December 15, 2027. Early adoption is permitted. The Company is currently evaluating the impact of adopting this ASU to its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 - Use Software (Subtopic 350-40): Targeted Improvements to the Accounting for Internal-Use Software (“ASU 2025-06”). The amendments in ASU 2025-06 remove all references to prescriptive and sequential software development stages. This ASU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including interim periods within those fiscal years. Early adoption is permitted. The Company is currently evaluating the impact of adopting this ASU to its consolidated financial statements.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2025-10, Accounting for Government Grants Received by Business Entities (Topic 832). This ASU provides recognition, measurement, presentation, and disclosure requirements for government grants, including guidance for grants related to an asset and grants related to income. ASU No. 2025-10 is effective for fiscal years beginning after December 15, 2028, including interim periods within those fiscal years. Early adoption is permitted. The Company is currently evaluating the impact of adopting this ASU to its consolidated financial statements.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Narrow-Scope Improvements (Topic 270). This ASU improves clarity for interim financial reporting requirements under the existing guidance within ASC Topic 270, by creating a comprehensive list of interim disclosure requirements, clarifying scope and applicability, along with adding a principle to disclose all material events that have occurred since the most recently filed Annual Report on Form 10-K. ASU No. 2025-11 is effective for interim reporting for fiscal years beginning after December 15, 2027, with early adoption permitted. The Company is currently evaluating the impact of adopting this ASU to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80"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2"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Level 1 securities is determined using quoted prices in active markets for identical assets. Level 1 securities consist of highly liquid money market funds. In addition, restricted cash collateralized by money market funds is a financial asset measured at fair value and is a Level 1 financial instrument under the fair value hierarchy.</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firstLine="648"/>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considered Level 2 when their fair values are determined using inputs that are observable in the market or can be derived principally from or corroborated by observable market data, such as pricing for similar securities, recently executed transactions, cash flow models with yield curves, and benchmark securities. In addition, Level 2 financial instruments are valued using comparisons to like-kind financial instruments and models that use readily observable market data as their basis. The Company had no financial instruments classified at Level 2 as of March 31, 2026 and December 31, 2025.</w:t>
      </w:r>
    </w:p>
    <w:p>
      <w:pPr>
        <w:spacing w:after="0" w:line="18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considered Level 3 when their fair values are determined using pricing models, discounted cash flow methodologies, or similar techniques and at least one significant model assumption or input is unobservable. As of March 31, 2026 and December 31, 2025, the Company’s Level 3 liabilities consisted of the warrant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within the hierarchy during the three months ended March 31, 2026 and 2025.</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measured on a recurring basis by level within the fair value hierarchy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13,144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13,144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13,144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fair value of financial liabilities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27,692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27,692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27,692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fair value of financial liabilities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changes in the Company’s warrant liability were as follows (in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fair value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(9,640)</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pricing model to determine the fair value of its warrant liability using Level 3 inputs. Inputs used to determine estimated fair value of the warrant liability include the fair value of the underlying stock at the valuation date, the term of the warrants, and the expected volatility of the underlying stock. The significant unobservable input used in the fair value measurement of the warrant liability is the expected volatility of the warrants. The estimates of fair value are uncertain and changes in any of the estimated inputs used as of the date of this report could have resulted in significant adjustments to the fair value.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The key inputs into valuation models used to estimate the fair value of the warrant liability as of March 31,2026 and December 31, 2025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115.68%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113.30%</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CONDENSED CONSOLIDATED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details of prepaid expenses and other current assets as of the dates set forth below (in thousands):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Prepaid travel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4,847</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4,320</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9"/>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details of property and equipment, net as of the dates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fixtures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was $21,000 and $0.3 million for the three months ended March 31, 2026 and 2025,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following table summarizes the details of accrued expenses and other current liabilities as of the dates set forth below (in thousands):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employee and related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legal and professional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3,422</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3,775</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9"/>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4"/>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5. CIRM GRANT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2020, California Institute for Regenerative Medicine (“CIRM”) awarded the Company $2.3 million in support of the research project related to a monoclonal antibody that depletes blood stem cells and enables chemotherapy-free transplants. The Company has received an aggregate of $2.3 million from CIRM through March 31, 2026. There are no further amounts available for future distribution to the Company under the grant.</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grant, both CIRM and the Company agreed to co-fund the research project and the amount of the Company’s co-funding requirement was predetermined as a part of the award. Under the terms of the CIRM grant, the Company is obligated to pay royalties and licensing fees based on 0.1% of net sales of CIRM-funded inventions per $1.0 million of CIRM grant. As an alternative to revenue sharing, the Company has the option to convert the award to a loan. In the event the Company exercises its right to convert the award to a loan, it would be obligated to repay the loan within ten business days of making such election. Repayment amounts vary dependent on when the award is converted to a loan, ranging from 60% of the award granted to amounts received plus interest at the rate of the three-month LIBOR rate plus 25% per annum. Since the Company may be required to repay some or all of the amounts awarded by CIRM, the Company accounted for this award as a liability. Given the uncertainty in amounts due upon repayment, the Company has recorded amounts received without any discount or interest recorded, and upon determination of amounts that would become due, the Company will adjust accordingly. In the absence of explicit U.S. GAAP guidance on contributions received by business entities from government entities, the Company has applied to the CIRM grant the recognition and measurement guidance in ASC Topic 958-605 Not-for-Profit Entities: Revenue Recognition—Contributions by analogy. As of each of March 31, 2026 and December 31, 2025, the amount of CIRM grant received of $2.3 million is included in other non-current liabilities in the condensed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SIGNIFICANT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Stanford License Agreements</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In March 2021, the Company entered into an exclusive license agreement with Stanford (the “2021 Stanford License Agreement”). In July 2023, the Company entered into an amendment to the 2021 Stanford License Agreement to modify certain milestones set forth thereunder. The Company received a worldwide, exclusive license, with a right to sublicense, for briquilimab in the field of depleting endogenous blood stem cells in patients for whom hematopoietic cell transplantation is indicated. Stanford transferred to the Company certain know-how and patents related to briquilimab (together, the “Licensed Technology”). Under the terms of this agreement, the Company is required to use commercially reasonable efforts to develop, manufacture and sell licensed product and to develop markets for a licensed product. In addition, the Company is required to use commercially reasonable efforts to meet the milestones as specified in the agreement over the six years from execution of the 2021 Stanford License Agreement and must notify Stanford in writing as each milestone is met.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obligated to pay annual license maintenance fees, beginning on the first anniversary of the effective date of the agreement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upon the first commercial sale of a product, method, or service in the licensed field of use, as follows: $25,000 for each first and second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 for each third and fourth year and $50,000 at each anniversary thereafter ending upon the first commercial sale. The Company is also obligated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late-stage clinical development milestone payments and first commercial sales milestone payments of up to $9.0 million in total. The Company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pay low single-digit royalties on net sales of licensed products, if approved. As of March 31, 2026, the Company recorded $50,000 in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other current liabilities in the condensed consolidated balance sheets related to annual license maintenance fees, with corresponding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of such amount as research and development expense in the condensed consolidated statements of operations and comprehensive loss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2026. The Company recognized $35,000 in annual license maintenance fees as research and development expense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months ended March 31, 2025.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 w:name="page14"/>
    <w:bookmarkEnd w:id="13"/>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2021 Stanford License Agreement expires on a country-by-country basis on the last-to-expire valid claim of a licensed patent in such country. The Company may terminate the agreement by giving Stanford written notice at least 12 months in advance of the effective date of termination. The Company may also terminate the agreement solely with respect to any particular patent application or patent by giving Stanford written notice at least 60 days in advance of the effective date of termination. Stanford may terminate the agreement after 90 days from a written notice by Stanford, specifying a problem, including a delinquency on any report required pursuant to the agreement or any payment, missing a milestone or a material breach, unless the Company remediates the problem in that 90-day period.</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2024, the Company entered into a co-exclusive license agreement with Stanford (the “2024 Stanford License Agreement”). The Company received a co-exclusive license in the United States, with a right to sublicense, for a certain patent to be used in the field of the treatment and prevention of human diseases, including the use of anti-CD117 antibodies (other than JSP191) for the purpose of depleting endogenous blood stem cells in patients for whom hematopoietic cell transplantation is indicated (the “Co-Exclusive Licensed Field of Use”) and an exclusive license in the United States for the use of the same patent in the field provided in the 2021 Stanford License Agreement (the “Exclusive Licensed Field of Use”). Stanford will have at most one other commercial license for the licensed patent in the Co-Exclusive Licensed Field of Use. Under the terms of this agreement, the Company is required to use commercially reasonable efforts to develop, manufacture and sell a licensed product and to develop markets for a licensed product. In addition, the Company is required to use commercially reasonable efforts to meet the milestones as specified in the agreement over approximately 4.5 years from the execution of the agreement and must notify Stanford in writing when, and if, each milestone is met.</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paid a license issue fee of $75,000, following the execution of the agreement, in January 2025. The Company is also obligated to pay annual license maintenance fees, beginning on the first anniversary of the effective date of the agreement, as follows: $25,000 for each of the first through third years, $50,000 for each of the fourth through sixth years and $65,000 at each anniversary thereafter. The Company is also obligated to pay clinical development milestone payments of up to $1.3 million and sales milestone payments of up to $7.0 million in total. The Company will pay low single-digit royalties on net sales of licensed products, if approved. The Company will pay Stanford a portion of sublicensee consideration if a sublicense is granted. As of March 31, 2026 and December 31, 2025, there was $0 and $25,000, respectively, of accounts payable recorded in the condensed consolidated balance sheets related to the annual license maintenance fee.</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by giving Stanford written notice at least 30 days in advance of the effective date of termination. Stanford may terminate the agreement by giving the Company 90 days written notice for a problem, including a delinquency on any report required pursuant to the agreement, missing a milestone or a material breach, and by giving the Company 30 days written notice for a payment default, unless the Company remediates the problem in that 90-day or 30-day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September 2025, in connection and together with the issuance of 11,670,707 shares of the Company’s voting common stock through the underwritten offering (the “September 2025 Offering”), the Company issued pre-funded warrants to purchase 675,000 shares of common stock (the “Pre-Funded Warrants”) and common stock warrants to purchase 12,345,707 shares of common stock (the “Common Warrants”). See Note 9 for additional details about the September 2025 Offering.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17"/>
          <w:szCs w:val="17"/>
          <w:color w:val="auto"/>
        </w:rPr>
        <w:t>The exercise price of each Pre-Funded Warrant is $0.0001 per share. The Pre-Funded Warrants are exercisable at the option of each holder in whole or in part at any time after their original issuance and have no expiration date. The Pre-Funded Warrants may be exercised by means of cash or the cashless settlement of the net number of shares of common stock determined according to a formula set forth in the Pre-Funded Warrants. However, a holder will not be entitled to exercise any portion of any Pre-Funded Warrant that, upon giving effect to such exercise, would cause the aggregate number of shares of common stock beneficially owned by such holder (together with its affiliates) to exceed 4.99% (or, at the election of the holder, 9.99% or</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19.99%) of the number of issued and outstanding shares of common stock following such exercise. However, any holder of a Pre-Funded Warrant may increase or decrease such percentage to any other percentage not in excess of 19.99%, provided that the holder shall provide at least 61 days’ prior written notice to the Company prior to the date such increase shall be effective.</w:t>
      </w:r>
    </w:p>
    <w:p>
      <w:pPr>
        <w:spacing w:after="0" w:line="186"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Pre-Funded Warrant, upon the consummation of a Fundamental Transaction, as defined in the Pre-Funded Warrants, the holders of the Pre-Funded Warrants are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concluded that the Pre-Funded Warrants met the equity indexation criteria and the Pre-Funded Warrants are therefore accounted for in stockholders’ equity. The Company recorded $0.3 million to additional paid-in capital upon issuance of the Pre-Funded Warrants.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none of the Pre-Funded Warrants have been exercised.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Warrants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exercise price of each Common Warrant is $2.92 per share. Each Common Warrant is exercisable commencing on the six month anniversary of the date of issuance and thereafter for a period of four years. The Common Warrants may be exercised by means of cash or the cashless settlement of the net number of shares of common stock determined according to a formula set forth in the Common Warrants. However, a holder will not be entitled to exercise any portion of any Common Warrant that, upon giving effect to such exercise, would cause the aggregate number of shares of common stock beneficially owned by such holder (together with its affiliates) to exceed 4.99% (or, at the election of the holder, 9.99% or 19.99%) of the number of issued and outstanding shares of common stock following such exercise. However, any holder of a Common Warrant may increase or decrease such percentage to any other percentage not in excess of 19.99%, provided that the holder shall provide at least 61 days’ prior written notice to the Company prior to the date such increase shall be effective.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terms of the Common Warrant, upon the consummation of a Fundamental Transaction, as defined in the Common Warrants, the holders of the Common Warrants are entitled to receive, upon exercise of the Common Warrant, the kind and amount of securities, cash or other property that such holders would have received had they exercised the Common Warrants immediately prior to such Fundamental Transaction, without regard to any limitations on exercise contained in the Common Warrants or the holder may require the Company or the successor entity to repurchase the unexercised portion of the Common Warrant for its Black Scholes Value, as defined in the Common Warrant; provided, however, if the holder shall only be entitled to receive from the Company or any successor entity the same type or form of consideration (and in the same proportion) at the Black Scholes Value of the unexercised portion of the Common Warrant, that is being offered and paid to the holders of common stock of the Company in connection with the Fundamental Transaction, whether that consideration be in the form of cash, shares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concluded that the Common Warrants did not meet the equity indexation criteria due to the certain inputs to estimate the number of shares issuable in a Fundamental Transaction and the Common Warrants are therefore accounted for as liabilities. The Company recorded $24.7 million to warrant liability upon issuance of the Common Warrants. The Company estimated fair value of the Common Warrants at the issuance date using the Black-Scholes valuation model and will remeasure the liability at each reporting date. The Company recorded a change in fair value of warrant liability of</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$9.6 million in its condensed consolidated statement of operations and comprehensive loss for the three months ended March 31, 2026. Refer to Note 3 for assumptions used to estimate the Common Warrants fair value.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none of the Common Warrants have been exercised.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leased approximately 25,900 square feet of laboratory and office space in Redwood City, California, under an operating lease that expires in August 2026.</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signing the lease, the Company secured a letter of credit in favor of the lessor in the amount of $0.4 million. The funds related to this letter of credit are presented as restricted cash on the Company’s condensed consolidated balance sheets. The lease agreement includes an escalation clause for increased base rent and a renewal provision allowing the Company to extend this lease for an additional 60 months at the prevailing rental rate, which the Company is not reasonably certain to exercise. In addition to base rent, the Company pays its share of operating expenses and taxes.</w:t>
      </w:r>
    </w:p>
    <w:p>
      <w:pPr>
        <w:spacing w:after="0" w:line="18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In March 2025, the Company extended its existing short-term lease for 12,500 square feet of laboratory and office space in Redwood City, California, through August 2026. As a result, the Company recorded a right-of-use asset and lease liability of $1.1 million in March 2025.</w:t>
      </w:r>
    </w:p>
    <w:p>
      <w:pPr>
        <w:spacing w:after="0" w:line="162"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In December 2025, in connection with the cessation of the Company’s vivarium operations and consolidation of personnel office space, the Company ceased use of a portion of its leased headquarters space. As a result, the right-of-use asset associated with that lease was impaired by $0.4 million.</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pays variable costs related to its share of operating expenses and taxes. These variable costs are recorded as lease expense as incurred and presented as operating expenses in the condensed consolidated statements of operations and comprehensive loss.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lease costs, which were included in the Company’s condensed consolidated statements of operations and comprehensive loss,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1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780" w:type="dxa"/>
            <w:vAlign w:val="bottom"/>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the Company’s operating leases is as follows:</w:t>
      </w:r>
    </w:p>
    <w:p>
      <w:pPr>
        <w:spacing w:after="0" w:line="22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(in thousands)</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7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 maturity analysis of the Company’s operating lease liabilities showing the aggregate lease payments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Pr>
          <w:p>
            <w:pPr>
              <w:spacing w:after="0"/>
              <w:rPr>
                <w:sz w:val="21"/>
                <w:szCs w:val="21"/>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r>
      <w:tr>
        <w:trPr>
          <w:trHeight w:val="203"/>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undiscounted lease payments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3"/>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discounted lease payments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r>
      <w:tr>
        <w:trPr>
          <w:trHeight w:val="237"/>
        </w:trPr>
        <w:tc>
          <w:tcPr>
            <w:tcW w:w="100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Noncurrent portion of lease liability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March 2021, the Company entered into the 2021 Stanford License Agreement (Note 6), which was amended in July 2023, pursuant to which the Company is required to pay annual license maintenance fees, clinical development and commercial sales milestone payments of up to an aggregate of $9.0 million, and low single-digit royalties on net sales of licensed products. All products were in development as of March 31, 2026, and no royalties were due as of such date. The Company recognized $50,000 and $35,000 in annual license maintenance fees as research and development expense in the condensed consolidated statements of operations and comprehensive loss for the three months ended March 31, 2026 and 2025, respectively. As of each of March 31, 2026 and December 31, 2025, no milestones were probable to be achieved and payable.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the 2024 Stanford License Agreement (Note 6), pursuant to which the Company is required to pay a license issue and annual license maintenance fees, clinical development and commercial sales milestone payments of up to an aggregate of $8.3 million and low single-digit royalties on net sales of licensed products. All products were in development as of March 31, 2026, and no royalties were due as of such date. As of March 31, 2026, no milestones were probable to be achieved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from time to time, may be party to litigation arising in the ordinary course of business. On September 19, 2025, a shareholder class action complaint captioned </w:t>
      </w:r>
      <w:r>
        <w:rPr>
          <w:rFonts w:ascii="Times New Roman" w:cs="Times New Roman" w:eastAsia="Times New Roman" w:hAnsi="Times New Roman"/>
          <w:sz w:val="18"/>
          <w:szCs w:val="18"/>
          <w:i w:val="1"/>
          <w:iCs w:val="1"/>
          <w:color w:val="auto"/>
        </w:rPr>
        <w:t>Grant v. Jasper Therapeutics, Inc., et al.</w:t>
      </w:r>
      <w:r>
        <w:rPr>
          <w:rFonts w:ascii="Times New Roman" w:cs="Times New Roman" w:eastAsia="Times New Roman" w:hAnsi="Times New Roman"/>
          <w:sz w:val="18"/>
          <w:szCs w:val="18"/>
          <w:color w:val="auto"/>
        </w:rPr>
        <w:t xml:space="preserve"> (Case No. 25-cv-08010) was filed in the United States District Court for the Northern District of California against the Company and certain of the Company’s current and former officers. The complaint alleges that certain material misstatements or omissions related to the ongoing clinical trials of briquilimab were made in violation of federal securities laws. The plaintiffs are seeking unspecified monetary damages and an award of costs and expenses, including reasonable attorneys’ fees, expert fees and other costs. On December 3, 2025, a stipulated order was entered appointing co-lead plaintiffs and approving their selection of co-lead counsel, and on December 16, 2025, a stipulated order was entered setting a schedule for the filing and responses to an amended complaint. Per the terms of the December 16, 2025 stipulated order, an amended complaint captioned </w:t>
      </w:r>
      <w:r>
        <w:rPr>
          <w:rFonts w:ascii="Times New Roman" w:cs="Times New Roman" w:eastAsia="Times New Roman" w:hAnsi="Times New Roman"/>
          <w:sz w:val="18"/>
          <w:szCs w:val="18"/>
          <w:i w:val="1"/>
          <w:iCs w:val="1"/>
          <w:color w:val="auto"/>
        </w:rPr>
        <w:t>Allard, et al. v. Jasper Therapeutics, Inc., et al.</w:t>
      </w:r>
      <w:r>
        <w:rPr>
          <w:rFonts w:ascii="Times New Roman" w:cs="Times New Roman" w:eastAsia="Times New Roman" w:hAnsi="Times New Roman"/>
          <w:sz w:val="18"/>
          <w:szCs w:val="18"/>
          <w:color w:val="auto"/>
        </w:rPr>
        <w:t xml:space="preserve"> (Case No. 25-cv-08010) was filed, and defendants’ motion to dismiss was filed on April 20, 2026.</w:t>
      </w:r>
    </w:p>
    <w:p>
      <w:pPr>
        <w:spacing w:after="0" w:line="18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 xml:space="preserve">In addition, on November 5, 2025, a shareholder derivative complaint captioned </w:t>
      </w:r>
      <w:r>
        <w:rPr>
          <w:rFonts w:ascii="Times New Roman" w:cs="Times New Roman" w:eastAsia="Times New Roman" w:hAnsi="Times New Roman"/>
          <w:sz w:val="17"/>
          <w:szCs w:val="17"/>
          <w:i w:val="1"/>
          <w:iCs w:val="1"/>
          <w:color w:val="auto"/>
        </w:rPr>
        <w:t>Bardauskas v. Martell, et al</w:t>
      </w:r>
      <w:r>
        <w:rPr>
          <w:rFonts w:ascii="Times New Roman" w:cs="Times New Roman" w:eastAsia="Times New Roman" w:hAnsi="Times New Roman"/>
          <w:sz w:val="17"/>
          <w:szCs w:val="17"/>
          <w:color w:val="auto"/>
        </w:rPr>
        <w:t xml:space="preserve">. (Case No. 25-cv-09561) was filed in the United States District Court for the Northern District of California, and on December 22, 2025, another shareholder derivative complaint was filed in the same court and captioned </w:t>
      </w:r>
      <w:r>
        <w:rPr>
          <w:rFonts w:ascii="Times New Roman" w:cs="Times New Roman" w:eastAsia="Times New Roman" w:hAnsi="Times New Roman"/>
          <w:sz w:val="17"/>
          <w:szCs w:val="17"/>
          <w:i w:val="1"/>
          <w:iCs w:val="1"/>
          <w:color w:val="auto"/>
        </w:rPr>
        <w:t>Walsh v. Martell, et al.</w:t>
      </w:r>
      <w:r>
        <w:rPr>
          <w:rFonts w:ascii="Times New Roman" w:cs="Times New Roman" w:eastAsia="Times New Roman" w:hAnsi="Times New Roman"/>
          <w:sz w:val="17"/>
          <w:szCs w:val="17"/>
          <w:color w:val="auto"/>
        </w:rPr>
        <w:t xml:space="preserve"> (Case No. 25-cv-10899). The derivative complaints name as defendants certain of the Company’s current and former officers and directors, and allege claims related to the allegations raised in the shareholder class action complaint. On January 21, 2026, a stipulated order was entered, among other things, consolidating and staying the derivative actions. The Company believes the claims raised in these lawsuits are without merit, and intends to defend these matters vigorously. However, there can be no assurance that the Company will prevail. The Company is unable to determine whether any loss ultimately will occur or to estimate the range of such loss; therefore, no amount of loss has been accrued in the Company’s condensed consolidated financial statements as of and for the three months ended March 31, 2026. Regardless of outcome, litigation can have an adverse impact on the Company due to costs involved, diversion of management resources, negative publicity, reputational harm, and other factors.</w:t>
      </w:r>
    </w:p>
    <w:p>
      <w:pPr>
        <w:spacing w:after="0" w:line="17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 is not currently a party to any other legal proceedings which, individually or in the aggregate, would have a material adverse effect on its consolidated financial position, results of operations or cash flows.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each of March 31, 2026 and December 31, 2025, the Company does not have any material indemnification claims that were probable or reasonably possible and consequently has not recorded related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490,000,000 shares of voting common stock, 2,000,000 shares of non-voting common stock, and 10,000,000 shares of undesignated preferred stock. There were 27,996,819 shares of voting common stock, no shares of non-voting common stock and no shares of preferred stock issued and outstanding as of March 31, 2026.</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Holders of the voting common stock and the non-voting common stock have similar rights, except that non-voting stockholders are not entitled to vote, including for the election of directors. Holders of voting common stock do not have conversion rights, while holders of non-voting common stock have the right to convert each share of non-voting common stock held by such holder into one share of voting common stock at such holder’s election by providing written notice to the Company, provided that as a result of such conversion, such holder, together with its affiliates, would not beneficially own in excess of 9.9% of the Company’s voting common stock following such conversion. There were no outstanding shares of non-voting common stock as of March 31, 2026 and December 31, 2025.</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common stock reserved for future issuance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issued common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2,671,358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issued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198,900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issued performance-based 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Public Warrants (1)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499,986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Common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12,345,707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12,345,707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Pre-Funded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 under Equity Incentive Plans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418,817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843,360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Employee Stock Purchase Plan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920,827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920,827</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 under 2022 Inducement Equity Incentive Plan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180,960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132,769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reserved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17,882,755</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17,882,755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84" w:lineRule="exact"/>
        <w:rPr>
          <w:sz w:val="20"/>
          <w:szCs w:val="20"/>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4,999,863 outstanding warrants to purchase an aggregate of 499,986 shares of its common stock (the “Public Warrants”). A holder may purchase one share of the Company’s common stock for every ten Public Warrants at an exercise price of $115.00 per share. The Public Warrants are publicly traded and exercisable during the exercise period, which commenced on October 24, 2021 and ends on September 24, 2026, for cash or, in certain circumstances, on a cashless basis. The Public Warrants were reclassified to equity in January 2023.</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March 19, 2025, the Company filed a new shelf registration statement on Form S-3 (the “S-3”) with the SEC, which was declared effective on March 26, 2025. As of March 31, 2026, the Company can sell from time to time up to $263.5 million of common stock, preferred stock, debt securities, warrants, rights, units and depositary shares comprised of any combination of these securities, for the Company’s own account in one or more offerings under the S-3. The terms of any offering under the S-3 will be established at the time of such offering and will be described in a prospectus supplement to the S-3 filed with the SEC prior to the completion of any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Offerings</w:t>
      </w:r>
    </w:p>
    <w:p>
      <w:pPr>
        <w:spacing w:after="0" w:line="23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17"/>
          <w:szCs w:val="17"/>
          <w:color w:val="auto"/>
        </w:rPr>
        <w:t>On March 19, 2025, the Company entered into an Open Market Sale Agreement</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 xml:space="preserve"> with Jefferies LLC (“Jefferies”), pursuant to which the Company may offer and sell through or to Jefferies, as sales agent or principal, shares of common stock from time to time (the “ATM Offering”). On March 26, 2025, the Company filed with the SEC a prospectus under the S-3 in connection with the ATM Offering (the “ATM Prospectus”), pursuant to which the Company may offer and sell shares of common stock having an aggregate offering price of up to $100.0 million. As of March 31, 2026, the Company issued and sold an aggregate of 1,231,447 shares of common stock for net proceeds of approximately $6.5 million pursuant to the ATM Prospectus.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$93.5 million remained available under the ATM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September 18, 2025, the Company entered into an underwriting agreement with TD Securities (USA) LLC as the representative of the several underwriters, relating to an underwritten public offering under the S-3 of an aggregate of 11,670,707 shares of common stock, Pre-Funded Warrants to purchase 675,000 shares of common stock and Common Warrants to purchase 12,345,707 shares of common stock. The Company received net proceeds of $27.5 million.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$170.0 million remained available and unallocated under the S-3.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2,750,719 shares were reserved for issuance under the 2024 Equity Incentive Plan (the “2024 Plan”), of which 418,817 shares were available for future grant and 2,331,902 shares were subject to outstanding options and restricted stock units (“RSUs”), including 30,894 shares subject to performance-based awards. As of March 31, 2026, options to purchase 140,516 shares of common stock remained outstanding and unexercised, and continue to be governed by the 2019 Equity Incentive Plan (the “2019 EIP”). As of March 31, 2026, 1,000,000 shares were reserved under the 2024 Employee Stock Purchase Plan (the “ESPP”), of which 920,827 shares were available for future issuance and 79,173 shares had been issued. As of March 31, 2026, 550,000 shares were reserved for issuance under the 2022 Inducement Equity Incentive Plan (the “2022 Inducement Plan”), of which 180,960 shares were available for future grant and 369,040 shares were subject to outstanding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activities, including performance-based stock options, under the 2024 Plan, the 2021 Equity Incentive Plan (the “2021 Plan”), the 2022 Inducement Plan and the 2019 EIP for the three months ended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2,246,206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4.81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1,262,300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(837,148)</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2,671,358</w:t>
            </w:r>
          </w:p>
        </w:tc>
        <w:tc>
          <w:tcPr>
            <w:tcW w:w="2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CCEEFF"/>
              <w:bottom w:val="single" w:sz="8" w:color="CCEEFF"/>
            </w:tcBorders>
          </w:tcPr>
          <w:p>
            <w:pPr>
              <w:spacing w:after="0"/>
              <w:rPr>
                <w:sz w:val="24"/>
                <w:szCs w:val="24"/>
                <w:color w:val="auto"/>
              </w:rPr>
            </w:pPr>
          </w:p>
        </w:tc>
        <w:tc>
          <w:tcPr>
            <w:tcW w:w="1200" w:type="dxa"/>
            <w:vAlign w:val="bottom"/>
            <w:tcBorders>
              <w:top w:val="single" w:sz="8" w:color="CCEEFF"/>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1320" w:type="dxa"/>
            <w:vAlign w:val="bottom"/>
            <w:tcBorders>
              <w:top w:val="single" w:sz="8" w:color="CCEEFF"/>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tcBorders>
              <w:top w:val="single" w:sz="8" w:color="CCEEFF"/>
              <w:bottom w:val="single" w:sz="8" w:color="CCEEFF"/>
            </w:tcBorders>
          </w:tcPr>
          <w:p>
            <w:pPr>
              <w:spacing w:after="0"/>
              <w:rPr>
                <w:sz w:val="24"/>
                <w:szCs w:val="24"/>
                <w:color w:val="auto"/>
              </w:rPr>
            </w:pPr>
          </w:p>
        </w:tc>
        <w:tc>
          <w:tcPr>
            <w:tcW w:w="1080" w:type="dxa"/>
            <w:vAlign w:val="bottom"/>
            <w:tcBorders>
              <w:top w:val="single" w:sz="8" w:color="CCEEFF"/>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expected to vest,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2,671,358</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1320" w:type="dxa"/>
            <w:vAlign w:val="bottom"/>
            <w:tcBorders>
              <w:bottom w:val="single" w:sz="8" w:color="CCEEFF"/>
            </w:tcBorders>
            <w:gridSpan w:val="2"/>
            <w:shd w:val="clear" w:color="auto" w:fill="CCEEFF"/>
          </w:tcPr>
          <w:p>
            <w:pPr>
              <w:ind w:left="800"/>
              <w:spacing w:after="0" w:line="194" w:lineRule="exact"/>
              <w:rPr>
                <w:sz w:val="20"/>
                <w:szCs w:val="20"/>
                <w:color w:val="auto"/>
              </w:rPr>
            </w:pPr>
            <w:r>
              <w:rPr>
                <w:rFonts w:ascii="Times New Roman" w:cs="Times New Roman" w:eastAsia="Times New Roman" w:hAnsi="Times New Roman"/>
                <w:sz w:val="18"/>
                <w:szCs w:val="18"/>
                <w:color w:val="auto"/>
              </w:rPr>
              <w:t>7.43</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March 31, 2026</w:t>
            </w: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18.93</w:t>
            </w:r>
          </w:p>
        </w:tc>
        <w:tc>
          <w:tcPr>
            <w:tcW w:w="13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1,018,023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estimated fair value of the underlying common stock and the exercise price of outstanding, in-the-money options. No options were exercised during the three months ended March 31, 2026 and 2025.</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options that vested during the three months ended March 31, 2026 and 2025 was $0.9 million and $2.7 million, respectively. The weighted-average grant date fair value of options granted during the three months ended March 31, 2026 and 2025 was $1.33 and $4.92 per share, respectively.</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Unamortized stock-based compensation expense as of March 31, 2026 was $5.6 million, which is expected to be recognized over a weighted-average period of 3.0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performance-based stock option activity under the 2024 Plan or the 2021 Plan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 (in</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4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4.43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132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expected to vest,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7.33</w:t>
            </w:r>
          </w:p>
        </w:tc>
        <w:tc>
          <w:tcPr>
            <w:tcW w:w="1320" w:type="dxa"/>
            <w:vAlign w:val="bottom"/>
            <w:tcBorders>
              <w:bottom w:val="single" w:sz="8" w:color="CCEEFF"/>
            </w:tcBorders>
            <w:gridSpan w:val="2"/>
            <w:shd w:val="clear" w:color="auto" w:fill="CCEEFF"/>
          </w:tcPr>
          <w:p>
            <w:pPr>
              <w:ind w:left="800"/>
              <w:spacing w:after="0" w:line="194" w:lineRule="exact"/>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ind w:left="8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March 31, 2026</w:t>
            </w:r>
          </w:p>
        </w:tc>
        <w:tc>
          <w:tcPr>
            <w:tcW w:w="1140" w:type="dxa"/>
            <w:vAlign w:val="bottom"/>
            <w:gridSpan w:val="2"/>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13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20" w:type="dxa"/>
            <w:vAlign w:val="bottom"/>
            <w:tcBorders>
              <w:bottom w:val="single" w:sz="8" w:color="auto"/>
            </w:tcBorders>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RSU activity under the 2024 Plan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at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at March 31, 2026</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170,100</w:t>
            </w:r>
          </w:p>
        </w:tc>
        <w:tc>
          <w:tcPr>
            <w:tcW w:w="10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 (PSUs)</w:t>
      </w:r>
    </w:p>
    <w:p>
      <w:pPr>
        <w:spacing w:after="0" w:line="229" w:lineRule="exact"/>
        <w:rPr>
          <w:sz w:val="20"/>
          <w:szCs w:val="20"/>
          <w:color w:val="auto"/>
        </w:rPr>
      </w:pPr>
    </w:p>
    <w:p>
      <w:pPr>
        <w:ind w:right="20" w:firstLine="693"/>
        <w:spacing w:after="0" w:line="254" w:lineRule="auto"/>
        <w:rPr>
          <w:sz w:val="20"/>
          <w:szCs w:val="20"/>
          <w:color w:val="auto"/>
        </w:rPr>
      </w:pPr>
      <w:r>
        <w:rPr>
          <w:rFonts w:ascii="Times New Roman" w:cs="Times New Roman" w:eastAsia="Times New Roman" w:hAnsi="Times New Roman"/>
          <w:sz w:val="18"/>
          <w:szCs w:val="18"/>
          <w:color w:val="auto"/>
        </w:rPr>
        <w:t>In June 2024, the Company granted PSUs for 20,000 shares that would vest in full if the closing price of the Company’s common stock on the Nasdaq Capital Market reached or exceeded $35.00 per share (subject to adjustment for recapitalizations, stock splits and similar transactions) for thirty consecutive calendar days within two years from the grant date. If the vesting condition was not met within two years from the grant date, the PSUs would be forfeited. The Company concluded that issued PSUs were equity-based awards and include a market based vesting condition. The Company used a Monte Carlo simulation model to estimate the fair value of the PSUs with the following assumptions: common stock fair value of $23.95, which was the closing market price of the Company’s common stock at the grant date, volatility of 133.00%, risk free rate of 4.87%, and vesting term of 2.0 years. Total estimated fair value of $0.4 million was recognized as stock-based compensation expense over 0.4 years, the derived requisite service period from the grant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January 2026, the employee holding the PSUs was terminated and the award was forfeited. No stock-based compensation expense was reversed upon forfeiture, as the award included only a market-based vesting condition and the derived requisite service period had been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did not issue any shares of common stock under the ESPP during the three months ended March 31, 2026 and 2025, and recognized less than $0.1 million and $0.1 million compensation expense related to the ESPP during the three months ended March 31, 2026 and 2025, respectively. There was $0.2 million unamortized stock-based compensation for shares issuable under the ESPP as of March 31, 2026, which is expected to be recognized over a weighted-average period of 1.7 years. The Company recorded $0.1 million in accrued expenses and other current liabilities related to contributions withheld as of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expenses related to options, PSUs and RSUs granted to employees and non-employees, employee stock purchase plan awards and restricted common stock shares issued to founders (in thousands):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9"/>
                <w:szCs w:val="19"/>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$0.1 million and zero stock-based compensation expense related to performance-based options, PSUs and RSUs during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grant date fair value of stock options was estimated using a Black-Scholes option-pricing model with the following assumptions:</w:t>
      </w:r>
    </w:p>
    <w:p>
      <w:pPr>
        <w:spacing w:after="0" w:line="22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6.08</w:t>
            </w: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99.87% – 100.05%</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97.37% – 97.93%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3.88%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4.35%</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11. NET LOSS PER SHARE ATTRIBUTABLE TO COMMON STOCKHOLDERS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2300"/>
        <w:spacing w:after="0" w:line="290" w:lineRule="auto"/>
        <w:rPr>
          <w:sz w:val="20"/>
          <w:szCs w:val="20"/>
          <w:color w:val="auto"/>
        </w:rPr>
      </w:pPr>
      <w:r>
        <w:rPr>
          <w:rFonts w:ascii="Times New Roman" w:cs="Times New Roman" w:eastAsia="Times New Roman" w:hAnsi="Times New Roman"/>
          <w:sz w:val="17"/>
          <w:szCs w:val="17"/>
          <w:color w:val="auto"/>
        </w:rPr>
        <w:t>Weighted average common shares and pre-funded warrant shares outstanding Weighted average shares used to compute basic and diluted net loss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28,671,819(a)</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15,022,122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28,671,819</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15,022,122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vMerge w:val="continue"/>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7880" w:space="720"/>
            <w:col w:w="2640"/>
          </w:cols>
          <w:pgMar w:left="320" w:top="900" w:right="339" w:bottom="1440" w:gutter="0" w:footer="0" w:header="0"/>
          <w:type w:val="continuous"/>
        </w:sect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675,000 weighted-average shares underlying pre-funded warrants outstanding during the period, as such warrants are exercisable at any time for nominal consideration ($0.0001 per share).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issued common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2,671,358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2,186,226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issued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170,100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Public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499,986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Common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12,345,707</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performance-based restricted stock units</w:t>
            </w: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15,687,151</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2,706,212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PARTIES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the first quarter of 2024, a senior executive of the Company joined the board of directors of an information technology service provider that the Company has utilized to support a broad array of the Company’s systems infrastructure as well as for general information technology support services. For the three months ended March 31, 2026 and 2025, the Company incurred $0.3 million and $0.2 million, respectively, for various information technology support services performed by this service provider. There was $0.1 million of accounts payable recognized in the condensed consolidated balance sheets as of each of March 31, 2026 and December 31, 2025.</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it operates as a single operating and reportable segment, which is the research and development of therapeutic products in the fields of chronic urticaria and asthma. The Company’s chief operating decision maker, its Chief Executive Officer (the “CEO”), manages the Company’s operations on a consolidated basis. The CEO assesses the segment’s performance and allocates resources based on review of various development, manufacturing and clinical programs expenses, along with the segment’s personnel and general and overhead costs.</w:t>
      </w:r>
    </w:p>
    <w:p>
      <w:pPr>
        <w:spacing w:after="0" w:line="18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net loss presented in the Company’s condensed consolidated statements of operations and comprehensive loss, see below for disaggregated amounts that comprise total operating expenses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costs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overhead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3,291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3,611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Program costs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Briquilimab platform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CMO</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CSU</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Asthma</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CIndU</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SCID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523</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MDS/AML</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program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3,623</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9,760</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9,778</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long-lived assets are located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Starting in July 2025, the Company implemented a corporate reorganization and other cost reduction measures to extend its cash runway. These actions included a workforce reduction, refinement of the Company’s operating plan to focus on briquilimab clinical development programs in chronic urticaria, halting enrollment in its Phase 1b asthma study, discontinuation of other clinical and preclinical programs and cessation of vivarium operations. In 2025, the Company incurred restructuring charges related to workforce reduction of approximately $2.3 million, primarily related to severance payments, and recognized impairment charges of $1.1 million related to the abandonment of certain fixed assets and a right-of-use asset associated with vivarium operations.</w:t>
      </w:r>
    </w:p>
    <w:p>
      <w:pPr>
        <w:spacing w:after="0" w:line="187"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As of March 31, 2026 and December 31, 2025, the Company had $0.3 million and $0.4 million, respectively, of accrued severance costs related to the termination of one employee in connection with the restructuring, which are included in accrued expenses and other current liabilities in the condensed consolidated balance sheets. The related severance payments are expected to be made over a period of approximately 12 months, through January 2027.</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condensed consolidated financial statements and the related notes included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Part I, Item 1 of this Quarterly Report on Form 10-Q (this “Quarterly Report”) and with the audited consolidated financial statements and the related notes included in our Annual Report on Form 10-K for the fiscal year ended December 31, 2025 filed with the Securities and Exchange Commission (the “SEC”) on March 30, 2026. Certain of the information contained in this discussion and analysis or set forth elsewhere in this Quarterly Report, including information with respect to plans and strategy for our business, includes forward-looking statements that involve risks and uncertainties. As a result of many factors, including those factors set forth in the section entitled “Risk Factors”, in Part I - Item 1A of our Annual Report on Form 10-K for the year ended December 31, 2025, filed with the SEC on March 30, 2026, as updated by the factors described under the heading “Risk Factors” in Part II - Item 1A of this Quarterly Report, our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our forward-looking statements. Please also see “Cautionary Note Regarding Forward-Looking Statements” below. The events and circumstances reflected in our forward-looking statements may not be achieved or may not occur, and actual results could differ materially from those described in or implied by the forward-looking statements contained in the following discussion and analysis. As a result of these risks, you should not place undue reliance on these forward-looking statements. We assume no obligation to revise or update any forward-looking statements for any reason, except as required by law.</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Quarterly Report, unless the context otherwise requires, the terms “Jasper,” “we,” “us” and “our” in this Quarterly Report refer to Jasper Therapeutics, Inc. and its consolidated subsidiary.</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statements contained in this Quarterly Report may constitute “forward-looking statements” for purposes of federal securities laws.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can be identified by the fact that they do not relate strictly to historical or current facts. In addition, any statements that refer to projections,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forecasts or other characterizations of future events or circumstances, including any underlying assumptions, are forward-looking statements. The 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contemplate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possible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and similar expressions (including the negative of any of the foregoing) may identify forward-looking statements,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absence of these words does not mean that a statement is not forward-looking.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 -looking statements in this Quarterly Report may include, for example, but are not limited to, statements about:</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management team’s expectations, hopes, beliefs, intentions or strategies regarding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research, discover and develop additional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and safety and efficacy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in future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information, anticipated growth rate and market opportunity;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public securities on the Nasdaq Capital Market LLC (“Nasdaq”);</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our business model, developments and projections relating to our competitors and industry;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license agreements and manufacturing arrangements;</w:t>
      </w:r>
    </w:p>
    <w:p>
      <w:pPr>
        <w:spacing w:after="0" w:line="22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anticipated benefits of our corporate reorganization, including the reduction in force, and our ability to implement and achieve the expected cost savings in connection therewith;</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5" w:gutter="0" w:footer="0" w:header="0"/>
        </w:sectPr>
      </w:pPr>
    </w:p>
    <w:bookmarkStart w:id="24" w:name="page25"/>
    <w:bookmarkEnd w:id="24"/>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 Item 1A of our Annual Report on Form 10-K for the year ended December 31, 2025, filed with the SEC on March 30, 2026, as updated by the factors described under the heading “Risk Factors” in Part II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Item 1A of this Quarterly Report.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and there may be additional risks that we consider immaterial or which are unknown. It is not possible to predict or identify all such risks. Readers are cautioned not to place undue reliance on forward-looking statements because of the risks and uncertainties related to them and to the risk factors. We do not undertake any obligation to update or revise any forward-looking statements, whether as a result of new information, future events or otherwise, except as may be required under applicable securities 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therapeutics targeting mast cell driven diseases such as Chronic Spontaneous Urticaria (“CSU”), Chronic Inducible Urticaria (“CIndU”) and asthma. We may also consider additional indications in mast cell driven diseases for potential future development. We have also historically explored development programs in diseases where targeting diseased hemopoietic stem cells can provide benefits, such as stem cell transplant conditioning regimens, but those programs have been discontinued and we are exclusively focused on mast cell driven diseases.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lead product candidate, briquilimab, is a monoclonal antibody designed to block stem cell factor (“SCF”) from binding to and signaling through the CD117 (“KIT”) receptor on mast and stem cells. The SCF/KIT pathway is a survival signal for mast cells and we believe that blocking this pathway may lead to depletion of these cells throughout the body, including in the lungs and in the skin, which could lead to significant clinical benefit for patients with mast-cell driven diseases such as asthma and chronic urticarias. To that end, we are focusing on advancing a portfolio of clinical programs in mast cell driven diseases, highlights of which were as follows:</w:t>
      </w:r>
    </w:p>
    <w:p>
      <w:pPr>
        <w:spacing w:after="0" w:line="183" w:lineRule="exact"/>
        <w:rPr>
          <w:sz w:val="20"/>
          <w:szCs w:val="20"/>
          <w:color w:val="auto"/>
        </w:rPr>
      </w:pPr>
    </w:p>
    <w:p>
      <w:pPr>
        <w:ind w:left="980" w:right="6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commenced the Phase 1b/2a BEACON study in CSU in late 2023 and in January 2025, we presented positive preliminary data from the first 8 dosing cohorts in the study (10mg, 40mg, 80mg Q8W, 120mg Q8W, 120mg Q12W, 180mg Q8W, 180mg Q12W, and 240mg single-dose). Average patient duration on study as of the cutoff date for the data presented was approximately 28 weeks. Highlights of the data were as follows:</w:t>
      </w:r>
    </w:p>
    <w:p>
      <w:pPr>
        <w:spacing w:after="0" w:line="179" w:lineRule="exact"/>
        <w:rPr>
          <w:rFonts w:ascii="Times New Roman" w:cs="Times New Roman" w:eastAsia="Times New Roman" w:hAnsi="Times New Roman"/>
          <w:sz w:val="18"/>
          <w:szCs w:val="18"/>
          <w:color w:val="auto"/>
        </w:rPr>
      </w:pPr>
    </w:p>
    <w:p>
      <w:pPr>
        <w:ind w:left="1300" w:right="5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demonstrated a rapid onset of clinical efficacy with clinical responses seen as early as 1 week post-dose and complete responses observed as early as week 2 post-dose.</w:t>
      </w:r>
    </w:p>
    <w:p>
      <w:pPr>
        <w:spacing w:after="0" w:line="161" w:lineRule="exact"/>
        <w:rPr>
          <w:rFonts w:ascii="Times New Roman" w:cs="Times New Roman" w:eastAsia="Times New Roman" w:hAnsi="Times New Roman"/>
          <w:sz w:val="18"/>
          <w:szCs w:val="18"/>
          <w:color w:val="auto"/>
        </w:rPr>
      </w:pPr>
    </w:p>
    <w:p>
      <w:pPr>
        <w:ind w:left="1300" w:right="1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drove deep and meaningful clinical responses with 100% complete responses through 8 weeks demonstrated at the 240mg dose level.</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was well-tolerated and demonstrated a favorable safety profile: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KIT-related adverse events (“AEs”) were generally transient, low-grade events;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AEs observed were resolved while on study prior to subsequent doses;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dose delays, missed doses or discontinuations were reported due to AEs possibly related to KIT blockade.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5" w:name="page26"/>
    <w:bookmarkEnd w:id="25"/>
    <w:p>
      <w:pPr>
        <w:ind w:left="324" w:right="380" w:hanging="324"/>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reported updated data from the Phase 1b/2a BEACON study in CSU with updates on the 240mg and 360mg single dose cohorts as well as the 240mg Q8W and the 240mg/180mg Q8W cohorts. Highlights of the data update were as follows:</w:t>
      </w:r>
    </w:p>
    <w:p>
      <w:pPr>
        <w:spacing w:after="0" w:line="161" w:lineRule="exact"/>
        <w:rPr>
          <w:rFonts w:ascii="Times New Roman" w:cs="Times New Roman" w:eastAsia="Times New Roman" w:hAnsi="Times New Roman"/>
          <w:sz w:val="18"/>
          <w:szCs w:val="18"/>
          <w:color w:val="auto"/>
        </w:rPr>
      </w:pPr>
    </w:p>
    <w:p>
      <w:pPr>
        <w:ind w:left="644" w:right="10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administration continued to demonstrate deep and rapid disease control in the 240mg and 360mg single-dose cohorts with 8 of 9 (89%) of participants enrolled across both cohorts achieving a complete response, and with 7 of 9 (78%) achieving a clinical response by week 2.</w:t>
      </w:r>
    </w:p>
    <w:p>
      <w:pPr>
        <w:spacing w:after="0" w:line="175" w:lineRule="exact"/>
        <w:rPr>
          <w:rFonts w:ascii="Times New Roman" w:cs="Times New Roman" w:eastAsia="Times New Roman" w:hAnsi="Times New Roman"/>
          <w:sz w:val="18"/>
          <w:szCs w:val="18"/>
          <w:color w:val="auto"/>
        </w:rPr>
      </w:pPr>
    </w:p>
    <w:p>
      <w:pPr>
        <w:ind w:left="644" w:right="220"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Results from the 240mg Q8W and the 240mg/180mg Q8W dose cohorts demonstrated an atypical absence of UAS7 reduction in 11 of the 13 patients enrolled, and as a result, we launched an investigation into those two cohorts. Factors examined included clinical site conduct, site dosing procedures, patient selection criteria, as well as potential product lot variability in one lot of drug product first introduced into the BEACON study in those two cohorts. We also provided new clinical drug supply from a different lot for ongoing dosing of existing patients and subsequently enrolled an additional 10 patients in aggregate across those two cohorts.</w:t>
      </w:r>
    </w:p>
    <w:p>
      <w:pPr>
        <w:spacing w:after="0" w:line="183" w:lineRule="exact"/>
        <w:rPr>
          <w:rFonts w:ascii="Times New Roman" w:cs="Times New Roman" w:eastAsia="Times New Roman" w:hAnsi="Times New Roman"/>
          <w:sz w:val="18"/>
          <w:szCs w:val="18"/>
          <w:color w:val="auto"/>
        </w:rPr>
      </w:pPr>
    </w:p>
    <w:p>
      <w:pPr>
        <w:ind w:left="324" w:hanging="324"/>
        <w:spacing w:after="0" w:line="258"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we reported the completion of the investigation into the confounded efficacy results reported in July 2025 from the 240mg Q8W and the 240mg/180mg Q8W cohorts of the BEACON study in CSU. Based on the work conducted, we concluded the anomalous efficacy results in these two cohorts was not the result of any issues with the investigational product used, or from drug substance (“DS”) or drug product (“DP”) manufacturing or distribution processes, but rather appeared to be an issue resulting from patient selection process/criteria at certain clinical sites participating in the study. This conclusion reflects, among other factors:</w:t>
      </w:r>
    </w:p>
    <w:p>
      <w:pPr>
        <w:spacing w:after="0" w:line="183"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 comprehensive review of manufacturing and distribution records;</w:t>
      </w:r>
    </w:p>
    <w:p>
      <w:pPr>
        <w:spacing w:after="0" w:line="225" w:lineRule="exact"/>
        <w:rPr>
          <w:rFonts w:ascii="Times New Roman" w:cs="Times New Roman" w:eastAsia="Times New Roman" w:hAnsi="Times New Roman"/>
          <w:sz w:val="18"/>
          <w:szCs w:val="18"/>
          <w:color w:val="auto"/>
        </w:rPr>
      </w:pPr>
    </w:p>
    <w:p>
      <w:pPr>
        <w:ind w:left="324" w:right="40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robust testing of multiple lots across the manufacturing and clinical supply chain; o independent, blinded testing of returned drug product samples from trial sites;</w:t>
      </w:r>
    </w:p>
    <w:p>
      <w:pPr>
        <w:spacing w:after="0" w:line="1" w:lineRule="exact"/>
        <w:rPr>
          <w:rFonts w:ascii="Times New Roman" w:cs="Times New Roman" w:eastAsia="Times New Roman" w:hAnsi="Times New Roman"/>
          <w:sz w:val="18"/>
          <w:szCs w:val="18"/>
          <w:color w:val="auto"/>
        </w:rPr>
      </w:pPr>
    </w:p>
    <w:p>
      <w:pPr>
        <w:ind w:left="324" w:right="32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review of stability samples from the lots used in the two cohorts compared against other lots; o review of patient selection and enrollment processes;</w:t>
      </w:r>
    </w:p>
    <w:p>
      <w:pPr>
        <w:spacing w:after="0" w:line="1"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review of investigational product handling and administration at the site level;</w:t>
      </w:r>
    </w:p>
    <w:p>
      <w:pPr>
        <w:spacing w:after="0" w:line="225" w:lineRule="exact"/>
        <w:rPr>
          <w:rFonts w:ascii="Times New Roman" w:cs="Times New Roman" w:eastAsia="Times New Roman" w:hAnsi="Times New Roman"/>
          <w:sz w:val="18"/>
          <w:szCs w:val="18"/>
          <w:color w:val="auto"/>
        </w:rPr>
      </w:pPr>
    </w:p>
    <w:p>
      <w:pPr>
        <w:ind w:left="324" w:right="31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review of drug delivery methods (for example, injection site, needle and injection media); and o review of additional patient- and site-level data.</w:t>
      </w:r>
    </w:p>
    <w:p>
      <w:pPr>
        <w:spacing w:after="0" w:line="1" w:lineRule="exact"/>
        <w:rPr>
          <w:rFonts w:ascii="Times New Roman" w:cs="Times New Roman" w:eastAsia="Times New Roman" w:hAnsi="Times New Roman"/>
          <w:sz w:val="18"/>
          <w:szCs w:val="18"/>
          <w:color w:val="auto"/>
        </w:rPr>
      </w:pPr>
    </w:p>
    <w:p>
      <w:pPr>
        <w:ind w:left="324"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conclusions reached as a result of the investigation were supported by expert panels comprised of key opinion leaders in clinical development and antibody manufacturing experts that reviewed the findings and provided clinical operations and development recommendations on patient enrollment processes that are being integrated into the planned Phase 2b/3 CSU study to increase the likelihood that CSU patients enrolled in the study would be more likely to have mast cell driven disease.</w:t>
      </w:r>
    </w:p>
    <w:p>
      <w:pPr>
        <w:spacing w:after="0" w:line="38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26" w:name="page27"/>
    <w:bookmarkEnd w:id="26"/>
    <w:p>
      <w:pPr>
        <w:ind w:left="324" w:right="6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we reported updated data from the Phase 1b/2a BEACON study in CSU with updates on an additional 8 patients enrolled in the 240mg/180mg Q8W cohort (6 on briquilimab and 2 on placebo). Highlights of the data update were as follows:</w:t>
      </w:r>
    </w:p>
    <w:p>
      <w:pPr>
        <w:spacing w:after="0" w:line="161"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demonstrated a rapid onset of clinical efficacy with clinical responses achieved by 5 of 6 participants (83%) by week 3;</w:t>
      </w:r>
    </w:p>
    <w:p>
      <w:pPr>
        <w:spacing w:after="0" w:line="225" w:lineRule="exact"/>
        <w:rPr>
          <w:rFonts w:ascii="Times New Roman" w:cs="Times New Roman" w:eastAsia="Times New Roman" w:hAnsi="Times New Roman"/>
          <w:sz w:val="18"/>
          <w:szCs w:val="18"/>
          <w:color w:val="auto"/>
        </w:rPr>
      </w:pPr>
    </w:p>
    <w:p>
      <w:pPr>
        <w:ind w:left="644" w:right="1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drove deep and meaningful clinical responses with UAS7 reductions of as much as 29 points noted, and 4 of 6 participants (67%) reporting a complete response at 12 weeks.</w:t>
      </w:r>
    </w:p>
    <w:p>
      <w:pPr>
        <w:spacing w:after="0" w:line="161"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continued to be well-tolerated and demonstrated a favorable safety profile:</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KIT-related adverse events (“AEs”) were generally transient, low-grade events;</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AEs observed were resolved while on study prior to subsequent doses; and</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dose delays, missed doses or discontinuations were reported due to AEs possibly related to KIT blockade.</w:t>
      </w:r>
    </w:p>
    <w:p>
      <w:pPr>
        <w:spacing w:after="0" w:line="225" w:lineRule="exact"/>
        <w:rPr>
          <w:rFonts w:ascii="Times New Roman" w:cs="Times New Roman" w:eastAsia="Times New Roman" w:hAnsi="Times New Roman"/>
          <w:sz w:val="18"/>
          <w:szCs w:val="18"/>
          <w:color w:val="auto"/>
        </w:rPr>
      </w:pPr>
    </w:p>
    <w:p>
      <w:pPr>
        <w:ind w:left="324" w:right="6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2024, we commenced the Phase 1b/2a SPOTLIGHT study in CIndU. In October 2024, we presented positive preliminary data on the 40mg and 120mg cohorts from the study showing the following for the 6-week preliminary analysis period following dosing, as follows:</w:t>
      </w:r>
    </w:p>
    <w:p>
      <w:pPr>
        <w:spacing w:after="0" w:line="161"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Across the 40mg and 120mg dosing cohorts in the study, 14 of the 15 participants (93%) achieved a clinical response;</w:t>
      </w:r>
    </w:p>
    <w:p>
      <w:pPr>
        <w:spacing w:after="0" w:line="225" w:lineRule="exact"/>
        <w:rPr>
          <w:rFonts w:ascii="Times New Roman" w:cs="Times New Roman" w:eastAsia="Times New Roman" w:hAnsi="Times New Roman"/>
          <w:sz w:val="18"/>
          <w:szCs w:val="18"/>
          <w:color w:val="auto"/>
        </w:rPr>
      </w:pPr>
    </w:p>
    <w:p>
      <w:pPr>
        <w:ind w:left="644"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 the 120mg dose cohort, 10 of 12 participants (83%) experienced a complete response, and 1 participant experienced a partial response; and</w:t>
      </w:r>
    </w:p>
    <w:p>
      <w:pPr>
        <w:spacing w:after="0" w:line="161" w:lineRule="exact"/>
        <w:rPr>
          <w:rFonts w:ascii="Times New Roman" w:cs="Times New Roman" w:eastAsia="Times New Roman" w:hAnsi="Times New Roman"/>
          <w:sz w:val="18"/>
          <w:szCs w:val="18"/>
          <w:color w:val="auto"/>
        </w:rPr>
      </w:pPr>
    </w:p>
    <w:p>
      <w:pPr>
        <w:ind w:left="644" w:right="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was well-tolerated in the study, with KIT-related AEs being low-grade events, and no grade 3 or higher AEs possibly related to KIT blockade reported in any of the dose cohorts.</w:t>
      </w:r>
    </w:p>
    <w:p>
      <w:pPr>
        <w:spacing w:after="0" w:line="161" w:lineRule="exact"/>
        <w:rPr>
          <w:rFonts w:ascii="Times New Roman" w:cs="Times New Roman" w:eastAsia="Times New Roman" w:hAnsi="Times New Roman"/>
          <w:sz w:val="18"/>
          <w:szCs w:val="18"/>
          <w:color w:val="auto"/>
        </w:rPr>
      </w:pPr>
    </w:p>
    <w:p>
      <w:pPr>
        <w:ind w:left="324" w:right="120" w:hanging="324"/>
        <w:spacing w:after="0" w:line="282"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late 2024, we added a 180mg single dose cohort to the SPOTLIGHT study in CIndU. In June 2025, we reported positive preliminary data from the 180mg single dose cohort, the highlights of which were as follows:</w:t>
      </w:r>
    </w:p>
    <w:p>
      <w:pPr>
        <w:spacing w:after="0" w:line="161" w:lineRule="exact"/>
        <w:rPr>
          <w:rFonts w:ascii="Times New Roman" w:cs="Times New Roman" w:eastAsia="Times New Roman" w:hAnsi="Times New Roman"/>
          <w:sz w:val="18"/>
          <w:szCs w:val="18"/>
          <w:color w:val="auto"/>
        </w:rPr>
      </w:pPr>
    </w:p>
    <w:p>
      <w:pPr>
        <w:ind w:left="644" w:right="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treatment resulted in deep disease control at 180mg, with 12 of 12 participants (100%) enrolled in the cohort achieving a clinical response within the 8-week preliminary analysis period;</w:t>
      </w:r>
    </w:p>
    <w:p>
      <w:pPr>
        <w:spacing w:after="0" w:line="161" w:lineRule="exact"/>
        <w:rPr>
          <w:rFonts w:ascii="Times New Roman" w:cs="Times New Roman" w:eastAsia="Times New Roman" w:hAnsi="Times New Roman"/>
          <w:sz w:val="18"/>
          <w:szCs w:val="18"/>
          <w:color w:val="auto"/>
        </w:rPr>
      </w:pPr>
    </w:p>
    <w:p>
      <w:pPr>
        <w:ind w:left="644" w:right="6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efficacy observed was rapid and durable, with 8 of 12 participants (66%) achieving clinical response by week 2, and 7 of 12 participants (58%) maintaining clinical response through week 8; and</w:t>
      </w:r>
    </w:p>
    <w:p>
      <w:pPr>
        <w:spacing w:after="0" w:line="161"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Briquilimab continued to be well tolerated in the study, with no SAEs and no grade 3 or higher AEs reported in the 180mg cohort.</w:t>
      </w:r>
    </w:p>
    <w:p>
      <w:pPr>
        <w:spacing w:after="0" w:line="225" w:lineRule="exact"/>
        <w:rPr>
          <w:rFonts w:ascii="Times New Roman" w:cs="Times New Roman" w:eastAsia="Times New Roman" w:hAnsi="Times New Roman"/>
          <w:sz w:val="18"/>
          <w:szCs w:val="18"/>
          <w:color w:val="auto"/>
        </w:rPr>
      </w:pPr>
    </w:p>
    <w:p>
      <w:pPr>
        <w:jc w:val="both"/>
        <w:ind w:left="324" w:right="380" w:hanging="324"/>
        <w:spacing w:after="0" w:line="261"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commenced an Open Label Extension study (the “OLE”) in which patients in the BEACON study in CSU and the SPOTLIGHT study in CIndU are eligible to roll over to once they have completed their initial safety follow up period or experienced return of disease during the safety follow up period. All patients rolling over to the OLE study are treated with a 180mg Q8W dosing regimen. In January 2026, we reported preliminary data from the OLE study in both CSU and CIndU patients.</w:t>
      </w:r>
    </w:p>
    <w:p>
      <w:pPr>
        <w:spacing w:after="0" w:line="179"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Highlights of the clinical efficacy observed in CSU and CIndU participants for the OLE study released in January 2026 were as follows:</w:t>
      </w:r>
    </w:p>
    <w:p>
      <w:pPr>
        <w:spacing w:after="0" w:line="225" w:lineRule="exact"/>
        <w:rPr>
          <w:rFonts w:ascii="Times New Roman" w:cs="Times New Roman" w:eastAsia="Times New Roman" w:hAnsi="Times New Roman"/>
          <w:sz w:val="18"/>
          <w:szCs w:val="18"/>
          <w:color w:val="auto"/>
        </w:rPr>
      </w:pPr>
    </w:p>
    <w:p>
      <w:pPr>
        <w:ind w:left="644" w:right="4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 CSU participants, briquilimab treatment resulted in deep and durable disease control in the OLE study with 27 of 36 participants (75%) achieving complete response or well controlled disease at the week 12 assessment; and</w:t>
      </w:r>
    </w:p>
    <w:p>
      <w:pPr>
        <w:spacing w:after="0" w:line="161" w:lineRule="exact"/>
        <w:rPr>
          <w:rFonts w:ascii="Times New Roman" w:cs="Times New Roman" w:eastAsia="Times New Roman" w:hAnsi="Times New Roman"/>
          <w:sz w:val="18"/>
          <w:szCs w:val="18"/>
          <w:color w:val="auto"/>
        </w:rPr>
      </w:pPr>
    </w:p>
    <w:p>
      <w:pPr>
        <w:ind w:left="644" w:right="20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 CIndU participants, briquilimab treatment resulted in deep and durable disease control as well, with 11 of 17 participants (65%) achieving complete response or partial response at the week 16 assessment, which was 8 weeks following administration of the second dose.</w:t>
      </w: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color w:val="auto"/>
        </w:rPr>
        <w:t>Across both CSU and CIndU participants in the OLE study, briquilimab continued to demonstrate a favorable safety profile:</w:t>
      </w:r>
    </w:p>
    <w:p>
      <w:pPr>
        <w:spacing w:after="0" w:line="225" w:lineRule="exact"/>
        <w:rPr>
          <w:sz w:val="20"/>
          <w:szCs w:val="20"/>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KIT-related AEs were generally transient, low-grade events;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AEs observed were resolved while on study prior to subsequent doses;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discontinued therapy due to taste disturbance potentially related to briquilimab;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dose delays, missed doses or discontinuations were reported due to AEs possibly related to KIT blockade.</w:t>
      </w:r>
    </w:p>
    <w:p>
      <w:pPr>
        <w:spacing w:after="0" w:line="225" w:lineRule="exact"/>
        <w:rPr>
          <w:rFonts w:ascii="Times New Roman" w:cs="Times New Roman" w:eastAsia="Times New Roman" w:hAnsi="Times New Roman"/>
          <w:sz w:val="18"/>
          <w:szCs w:val="18"/>
          <w:color w:val="auto"/>
        </w:rPr>
      </w:pPr>
    </w:p>
    <w:p>
      <w:pPr>
        <w:ind w:left="980" w:right="120" w:hanging="324"/>
        <w:spacing w:after="0" w:line="23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late 2024, we commenced a Phase 1b study in asthma, the “ETESIAN” study, which is a single dose double-blind, placebo-controlled challenge study seeking to demonstrate proof-of-concept in asthma utilizing a potential therapeutic dose to inform future trials in the broader asthma population. The study was conducted utilizing a single 180mg dose of subcutaneous briquilimab and key assessments included measuring improvements in Forced Expiratory Volume in 1 second (“FEV</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in both Early Asthmatic Response (“EAR”) measured at 6 weeks, and Late Asthmatic Response (“LAR”) measured at 12 weeks, changes in airway hyperresponsiveness, mast cell depletion and recovery, and safety.</w:t>
      </w:r>
    </w:p>
    <w:p>
      <w:pPr>
        <w:spacing w:after="0" w:line="202" w:lineRule="exact"/>
        <w:rPr>
          <w:rFonts w:ascii="Times New Roman" w:cs="Times New Roman" w:eastAsia="Times New Roman" w:hAnsi="Times New Roman"/>
          <w:sz w:val="18"/>
          <w:szCs w:val="18"/>
          <w:color w:val="auto"/>
        </w:rPr>
      </w:pPr>
    </w:p>
    <w:p>
      <w:pPr>
        <w:ind w:left="980" w:right="460" w:hanging="324"/>
        <w:spacing w:after="0" w:line="289"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2025, we reported preliminary results from the ETESIAN study in 14 participants (7 receiving a single dose of 180mg briquilimab and 7 receiving placebo) who completed at least 7 weeks of allergen challenge testing following dosing with investigational product. Highlights of the clinical response observed in ETESIAN participants reported in December 2025 were as follows:</w:t>
      </w:r>
    </w:p>
    <w:p>
      <w:pPr>
        <w:spacing w:after="0" w:line="29" w:lineRule="exact"/>
        <w:rPr>
          <w:sz w:val="20"/>
          <w:szCs w:val="20"/>
          <w:color w:val="auto"/>
        </w:rPr>
      </w:pPr>
    </w:p>
    <w:p>
      <w:pPr>
        <w:ind w:left="1240" w:right="140" w:hanging="328"/>
        <w:spacing w:after="0" w:line="209"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baseline, briquilimab reduced the allergen induced LAR (measured by the mean maximum percentage fall in FEV</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(%Max FEV</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and fall in area under the FEV</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time response curve (“AUC”)) at both 6 and 12 weeks. Patients who received briquilimab showed an improvement in the LAR %Max FEV</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of 10.4% at 6 weeks and 8.7% at 12 weeks compared to baseline, as well as demonstrating an improvement in the LAR AUC of 25.4% at 6 weeks and 23.3% at 12 weeks.</w:t>
      </w:r>
    </w:p>
    <w:p>
      <w:pPr>
        <w:spacing w:after="0" w:line="198" w:lineRule="exact"/>
        <w:rPr>
          <w:rFonts w:ascii="Times New Roman" w:cs="Times New Roman" w:eastAsia="Times New Roman" w:hAnsi="Times New Roman"/>
          <w:sz w:val="18"/>
          <w:szCs w:val="18"/>
          <w:color w:val="auto"/>
        </w:rPr>
      </w:pPr>
    </w:p>
    <w:p>
      <w:pPr>
        <w:ind w:left="1240" w:right="20" w:hanging="328"/>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Sputum eosinophils, a potential marker of inflammatory response, were also measured at various timepoints in conjunction with observing the EAR and LAR. Participants receiving briquilimab demonstrated notably lower eosinophil levels as compared to those receiving placebo, indicating a reduction in the inflammatory response to their allergen.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positive proof of concept data generated in the ETESIAN study supports further development in the broader asthma population, however, advancing any future clinical studies in asthma would be based on an evaluation of the competitive landscape, the potential for strategic partnerships and capital availability.</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also evaluated briquilimab as a one-time conditioning therapy for severe combined immunodeficiency (“SCID”) patients undergoing a second stem cell transplant for which we conducted a Phase 1/2 clinical trial as well as via Investigator Sponsored Trials (“ISTs”) in several other stem cell transplant indications. In July 2025, the SCID program and any remaining ISTs were discontinued to focus resources exclusively on our mast cell disease development portfolio.</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intend to become a fully integrated discovery, development and commercial company in the field of mast cell therapeutics. We are developing our product candidates to be used individually or, in some cases, in combination with other therapeutics. Our goal is to advance our product candidates through regulatory approval and bring them to the commercial market based on the data from our clinical trials and communications with regulatory agencies and payor communities. We expect to continue to broaden our pipeline with additional mast cell indications and next-generation products by leveraging our research organization.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an exclusive license agreement with Amgen Inc. (“Amgen”) for the development and commercialization of the briquilimab monoclonal antibody in all indications and territories worldwide. We also have an exclusive license agreement with Stanford University for the right to use briquilimab in the clearance of diseased stem cells prior to the transplantation of hematopoietic stem cells.</w:t>
      </w:r>
    </w:p>
    <w:p>
      <w:pPr>
        <w:spacing w:after="0" w:line="176"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We have incurred significant losses and negative cash flows from operations since our inception. During the three months ended March 31, 2026 and 2025 we incurred net losses of $1.2 million and $21.2 million, respectively. We generated negative operating cash flows of $14.5 million and $22.8 million for the three months ended March 31, 2026 and 2025, respectively. As of March 31, 2026, we had an accumulated deficit of $317.8 million.</w:t>
      </w:r>
    </w:p>
    <w:p>
      <w:pPr>
        <w:spacing w:after="0" w:line="15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of $14.1 million as of March 31, 2026.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 Accordingly, based on our current operating plan, and along with our history of operating losses, our current cash and cash equivalents will not be sufficient to fund our ongoing operations for a period of at least twelve months from the date the condensed consolidated financial statements included in this Quarterly Report on Form 10-Q are issued.</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management plans to monitor expenses and raise additional capital through a combination of public and private equity, debt financings, strategic alliances or licensing arrangements. Our ability to access capital when needed is not assured and, if capital is not available to us when, and in the amounts, needed,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harm our business, financial condition and results of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and planned activities, as we:</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product candidates through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manufacture of supplies for our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validate, and develop additional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 for which we may obtain marketing approval and related commercial manufacturing build-out;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portfolio of intellectual property rights.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ind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facility. We rely on contract manufacturing organizations (“CMOs”) to produce our drug candidates in accordance with the FDA’s current good manufacturing practices (“cGMP”) regulations for use in our clinical trials. The manufacture of pharmaceuticals is subject to extensive cGMP regulations, which impose various procedural and documentation requirements and govern all areas of record keeping, production processes and controls, personnel and quality control. Under our license agreement with Amgen, we have received a substantial amount of drug product to support initiation of our planned clinical trials of briquilimab. In November 2019, we entered into development and manufacturing agreements with Lonza Sales AG (“Lonza”) relating to the manufacturing of briquilimab and product quality testing. The facility of Lonza in Slough, United Kingdom is responsible for production and testing of drug substance. The facility of Lonza in Stein, Switzerland is responsible for production and testing of drug product. Labelling, packaging and storage of finished drug product is provided by PCI Pharma Services, in San Diego, California. Our agreement with Lonza includes certain limitations on our ability to enter into supply arrangements with any other supplier without Lonza’s consent. In addition, Lonza has the right to increase the prices it charges us for certain supplies depending on a number of factors, some of which are outside of our control. In addition, given drug substance and drug product manufacturing and testing with Lonza currently occurs outside the United States, drug product imported into the United States for clinical or commercial use could be subject to significant tariffs in the current political environment.</w:t>
      </w:r>
    </w:p>
    <w:p>
      <w:pPr>
        <w:spacing w:after="0" w:line="19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have sales and marketing infrastructure to support commercial launch of our product candidates, if approved. We may build such capabilities in North America prior to potential launch of briquilimab. Outside of North America, we may rely on licensing, co-sale and co-promotion agreements with strategic partners for the commercialization of our product candidates.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briquilimab will be approved.</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 candidates, we may not become profitable. If we fail to become profitable or are unable to sustain profitability on a continuing basis, then we may be unable to continue our operations at planned levels and may be forced to reduce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largest component of our total operating expenses since our inception has been research and development activities, including the preclinical and clinical development of our product candidates. Research and development expenses consist primarily of compensation and benefits for research and development employees, including stock-based compensation; expenses incurred under agreements with contract research organizations (“CROs”) and investigative sites that conduct preclinical studies and clinical trials; the costs of acquiring and manufacturing clinical trial materials and other supplies; payments under licensing and research and development agreements; other outside services and consulting costs; and facilities, information technology and overhead expenses. Research and development costs are expensed as incurred.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costs, including costs incurred under agreements with third-party CROs, CMOs and other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benefits and stock-based compensation expense for our research and development personnel;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and allocated overheads incurred in connection with our research and development programs.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research and development costs may vary significantly based on factors, such as:</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discovery and preclinical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our chemistry, manufacturing and controls activities, including fulfilling cGMP-related standards and compliance, and identifying and qualifying suppliers;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a sufficient number of trial sites and recruiting suitable patients to participate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drop-out or discontinuation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 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1" w:name="page32"/>
    <w:bookmarkEnd w:id="31"/>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 and</w:t>
      </w:r>
    </w:p>
    <w:p>
      <w:pPr>
        <w:spacing w:after="0" w:line="225"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particularly in light of geopolitical and macroeconomic trends.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and expenses, including salaries, employee benefits, and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compensation for our executive and other administrative personnel; legal services, including relating to intellectual property and corporate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auditing, consulting and tax services; insurance; and facility and other allocated costs not otherwise included in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We expect our general and administrative expenses to increase substantially for the foreseeable future as we anticipate an increase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headcount to support expansion of research and development activities, as well as to support our operations generally. We also expect to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incur significant expenses associated with being a public company, including costs related to accounting, audit, legal, regulatory, and tax-related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maintaining compliance with applicable Nasdaq and SEC requirements; additional director and officer insurance costs; and investor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other income, net includes foreign currency transactions gains and losses, interest income and changes in the fair value of warrant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liability was classified as a liability in our condensed consolidated financial statements and was re-measured at each reporting period 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5,814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(10,343)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5,138</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5,645</w:t>
            </w:r>
          </w:p>
        </w:tc>
        <w:tc>
          <w:tcPr>
            <w:tcW w:w="18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(10,952)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(21,802)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10,850</w:t>
            </w:r>
          </w:p>
        </w:tc>
        <w:tc>
          <w:tcPr>
            <w:tcW w:w="220" w:type="dxa"/>
            <w:vAlign w:val="bottom"/>
          </w:tcPr>
          <w:p>
            <w:pPr>
              <w:spacing w:after="0"/>
              <w:rPr>
                <w:sz w:val="17"/>
                <w:szCs w:val="17"/>
                <w:color w:val="auto"/>
              </w:rPr>
            </w:pPr>
          </w:p>
        </w:tc>
        <w:tc>
          <w:tcPr>
            <w:tcW w:w="122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(50)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9,640</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9,778</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9,217</w:t>
            </w:r>
          </w:p>
        </w:tc>
        <w:tc>
          <w:tcPr>
            <w:tcW w:w="2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NM</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20,067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costs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overhead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3,623</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9,760</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5,814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2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$10.4 million, from $16.2 million for the three months ended March 31, 2025 to $5.8 million for the three months ended March 31, 2026.</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Personnel-related costs, including employee payroll and related expenses, decreased by $3.5 million, from $4.8 million for the three months ended March 31, 2025 to $1.3 million for the three months ended March 31, 2026, primarily due to the workforce reduction as part of the corporate reorganization in 2025. Stock-based compensation expenses, included in personnel-related costs, decreased by $0.4 million, from $0.6 million for the three months ended March 31, 2025 to $0.2 million for the three months ended March 31, 2026.</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General and overhead costs, which include common facilities, human resources and information technology related expenses allocated to research and development, decreased by $0.7 million, from $1.6 million for the three months ended March 31, 2025 to $0.9 million for the three months ended March 31, 2026, primarily due to decreased allocated overheads to research and development costs following our corporate reorganization in 2025.</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Program costs decreased by $6.2 million, from $9.8 million for the three months ended March 31, 2025 to $3.6 million for the three months ended March 31, 2026. Clinical program expenses primarily consisted of expenses incurred under agreements with CROs, CMOs, consultants, other professional services, in vivo study costs and lab supplies. Clinical program expenses decreased primarily due to a decrease in CRO expenses of $2.0 million from $4.0 million for the three months ended March 31, 2025 to $2.0 million for the three months ended March 31, 2026, a decrease in CMO expenses of $1.2 million from $2.1 million for the three months ended March 31, 2025 to $0.9 million for the three months ended March 31, 2026, a decrease in external consulting and other professional services costs of $1.2 million from $1.8 million for the three months ended March 31, 2025 to $0.6 million for the three months ended March 31, 2026, and a decrease in the preclinical in vivo study costs of $0.8 million with no such costs incurred during the three months ended March 31, 2026, as we halted the related preclinical programs in 2025.</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program costs for the three months ended March 31, 2026 and 2025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Briquilimab platform</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266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CMO</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882</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2,138</w:t>
            </w:r>
          </w:p>
        </w:tc>
        <w:tc>
          <w:tcPr>
            <w:tcW w:w="1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(1,256)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CSU</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2,746</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Asthma</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(1,720)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CIndU</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SCID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MDS/AML</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program costs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At the program level, the decrease in clinical program expenses was primarily driven by decreased costs related to the asthma program, briquilimab platform and CMO product development and manufacturing expenses not allocated to specific programs. Enrollment in the ETESIAN study for the asthma program, which began in late 2024, was halted in July 2025. The decrease in asthma program expenses during the three months ended March 31, 2026 was further impacted by reductions in previously accrued CRO investigator grant costs following the reconciliation and close-out of the study. We substantially discontinued the SCID program in 2025 and MDS/AML program in late 2024 and do not expect to incur significant costs related to these programs in the future.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by $0.5 million, from $5.6 million for the three months ended March 31, 2025 to $5.1 million for the three months ended March 31, 2026. Employee payroll and related expenses decreased by $0.7 million, from $3.3 million for the three months ended March 31, 2025 to $2.6 million for the three months ended March 31, 2026, primarily due to a decrease in stock-based compensation expenses. Stock-based compensation expenses, included in employee payroll and related expenses, were $0.1 million and $1.0 million for the three months ended March 31, 2026 and 2025, respectively. Expenses related to professional consulting services decreased by $0.1 million, from $2.0 million for the three months ended March 31, 2025 to $1.9 million for the three months ended March 31, 2026. Rent expenses decreased by $0.1 million for the three months ended March 31, 2026 as compared to the three months ended March 31, 2025. Other expenses increased by $0.4 million for the three months ended March 31, 2026 as compared to the three months ended March 31, 2025, primarily related to an increase in allocation of overhead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Net</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Total other income, net increased by $9.2 million, from $0.6 million for the three months ended March 31, 2025 to $9.8 million for the three months ended March 31, 2026.</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Interest income decreased by $0.4 million, from $0.6 million for the three months ended March 31, 2025 to $0.2 million for the three months ended March 31, 2026, primarily due to lower cash balances invested in money market funds.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liability of $9.6 million for three months ended March 31, 2026 represents a decrease in the fair value of common stock warrants issued in connection with our underwritten public offering in September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had $14.1 million of cash and cash equivalents.</w:t>
      </w:r>
    </w:p>
    <w:p>
      <w:pPr>
        <w:spacing w:after="0" w:line="22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order to assist in funding our future operations, including our planned clinical trials, on March 19, 2025, we filed a new universal shelf registration statement on Form S-3 (the “Shelf Registration Statement”) with the SEC, which was declared effective on March 26, 2025 and superseded our prior universal shelf registration statement. As of March 31, 2026, we can sell from time to time up to $263.5 million of common stock, preferred stock, debt securities, warrants, rights, units and depositary shares comprised of any combination of these securities, for our own account in one or more offerings under the Shelf Registration Statement. The terms of any offering under the Shelf Registration Statement will be established at the time of such offering and will be described in a prospectus supplement to the Shelf Registration Statement filed with the SEC prior to the completion of any such offering. However, as of March 31, 2026, the aggregate market value of our common stock held by non-affiliates (“public float”) is less than $75.0 million, so the amount we can raise through primary public offerings of securities, including through the ATM offering, in any twelve-month period using shelf registration statements is limited to an aggregate of one-third of our public float. On March 19, 2025, we entered into an Open Market Sale</w:t>
      </w:r>
    </w:p>
    <w:p>
      <w:pPr>
        <w:spacing w:after="0" w:line="6"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with Jefferies LLC (“Jefferies”), pursuant to which we may offer and sell through or to Jefferies, as sales agent or principal, shares of common stock from time to time (the “ATM Offering”). On March 26, 2025, we filed with the SEC a prospectus under the S-3 in connection with the ATM Offering (the “ATM Prospectus”), pursuant to which we may offer and sell shares of common stock having an aggregate offering price of up to $100.0 million. As of March 31, 2026, we issued and sold an aggregate of 1,231,447 shares of common stock for net proceeds of approximately $6.5 million pursuant to the ATM Prospectus.</w:t>
      </w:r>
    </w:p>
    <w:p>
      <w:pPr>
        <w:spacing w:after="0" w:line="20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On September 18, 2025, we entered into an underwriting agreement with TD Securities (USA) LLC as the representative of the several underwriters named therein, relating to an underwritten public offering under the Shelf Registration Statement. On September 22, 2025, we closed the offering and issued an aggregate of 11,670,707 shares of common stock, pre-funded warrants to purchase 675,000 shares of common stock and common stock warrants to purchase 12,345,707 shares of common stock, for net proceeds of approximately $27.5 million.</w:t>
      </w:r>
    </w:p>
    <w:p>
      <w:pPr>
        <w:spacing w:after="0" w:line="18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$93.5 million remains allocated and available under the ATM Prospectus and $170.0 million remains available and unallocated under the Shelf Registration Statement.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expenses for the foreseeable future as we continue to advance our product candidates, expand our corporate infrastructure, operate as a public company, further our research and development initiatives for our product candidates, scale our laboratory and manufacturing operations, and incur marketing costs associated with potential commercialization. We are subject to all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As of March 31, 2026, we had an accumulated deficit of $317.8 million. Given our recurring losses from operations and negative cash flows, and based on our current operating plan, we have concluded that there is substantial doubt about our ability to continue as a going concern within one year from the date of filing of this Quarterly Report. We expect to finance our future cash needs through equity or debt financings, collaborations or a combination of these approaches, and given the imminent need for additional funding to continue to fund operations in the near-term, we are actively seeking additional capital to extend our cash runway.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or making capital expenditures. Our ability to raise additional funds may be adversely impacted by negative global economic conditions and any disruptions to and volatility in the credit and financial markets in the United States and worldwide or other factors. There can be no assurance that we will be successful in acquiring additional funding at levels sufficient to fund our operations or on terms favorable or acceptable to us. While we routinely evaluate cost reduction measures to proactively manage cash burn, if we are unable to obtain adequate financing when needed or on terms favorable or acceptable to us, we may be forced to take broader actions such as to delay, reduce the scope of or eliminate one or more of our research and development programs.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financing requirements will depend on many factors, including:</w:t>
      </w:r>
    </w:p>
    <w:p>
      <w:pPr>
        <w:spacing w:after="0" w:line="225" w:lineRule="exact"/>
        <w:rPr>
          <w:sz w:val="20"/>
          <w:szCs w:val="20"/>
          <w:color w:val="auto"/>
        </w:rPr>
      </w:pPr>
    </w:p>
    <w:p>
      <w:pPr>
        <w:ind w:left="980" w:right="5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results and costs of research and development, preclinical and non-clinical studies and clinical trials for our current and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duration of clinical trials required for regulatory approval of our current and future product candidates;</w:t>
      </w:r>
    </w:p>
    <w:p>
      <w:pPr>
        <w:spacing w:after="0" w:line="2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and obtaining regulatory approvals from the FDA and comparable foreign regulatory authorities for our product candidates, including any requirement to conduct additional studies or generate additional data beyond that which we currently expect would be required to support a marketing application;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clinical and commercial supplies of our current and future product candidates;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5" w:name="page36"/>
    <w:bookmarkEnd w:id="35"/>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product candidates for which we may receive marketing approval;</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payers;</w:t>
      </w:r>
    </w:p>
    <w:p>
      <w:pPr>
        <w:spacing w:after="0" w:line="161"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attract, hire and retain skilled personnel;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could significantly change the costs and timing associated with the development of our product candidates. Furthermore, our operating plans may change in the future, and we may need additional funds to meet operational needs and capital requirements associated with such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or may have a potential termination fee if a purchase order is cancelled within a specified time, and therefore are cancelable contracts. We do not expect any such contract terminations and did not have any non-cancellable obligations under these agreements as of March 31,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leased approximately 25,900 square feet of space for our headquarters in Redwood City, California. The lease expires in August 2026. We have an option to extend the term for an additional five years to August 2031. In addition to base rent, we pay our share of operating expenses and taxes. As of March 31, 2026, our rent commitments under the lease agreement were $0.8 million within the next 12 months from March 31,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Stanford License Agreements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March 2021, we entered into an exclusive license agreement with Stanford (the “2021 Stanford License Agreement ”). In July 2023, we entered into an amendment to the 2021 Stanford License Agreement to modify certain milestones set forth thereunder. Pursuant to the 2021 Stanford License Agreement we are required to pay annual license maintenance fees, beginning on the first anniversary of the effective date of the agreement and ending upon the first commercial sale of a product, method, or service in the licensed field of use, as follows: $25,000 for each first and second year, $35,000 for each third and fourth year, and $50,000 at each anniversary thereafter ending upon the first commercial sale. We are also obligated to pay late-stage clinical development milestone payments and first commercial sales milestone payments of up to $9.0 million in total. We will also pay low single-digit royalties on net sales of licensed products. All products were in development as of March 31, 2026, and no such royalties were due as of such date and no milestones were achieved.</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December 2024, we entered into a co-exclusive license agreement with Stanford (the “2024 Stanford License Agreement ”). Pursuant to the 2024 Stanford License Agreement, we are required to pay a license issuance fee of $75,000, which was paid in January 2025, and annual license maintenance fees, beginning on the first anniversary of the effective date of the agreement: $25,000 for each of the first through third years, $50,000 for each of the fourth through sixth years and $65,000 at each anniversary thereafter. We are also obligated to pay clinical development milestone payments of up to $1.3 million and sales milestone payments of up to $7.0 million in total. We will also pay low single-digit royalties on net sales of licensed products. All products are in development as of March 31, 2026, and no such royalties were due as of such date and no milestones were achieved.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$14.5 million and $22.8 million for the three months ended March 31, 2026 and 2025, respectively.</w:t>
      </w:r>
    </w:p>
    <w:p>
      <w:pPr>
        <w:spacing w:after="0" w:line="225"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in the three months ended March 31, 2026 was primarily due to our net loss for the period of $1.2 million, net change of non-cash items totaling $9.0 million and net change of $4.3 million in our net operating assets and liabilities. The non-cash items consisted of change in fair value of warrant liability of $9.6 million, partially offset by $0.4 million related to stock-based compensation expense and $0.2 million of non-cash lease expense. The changes in our net operating assets and liabilities were primarily due to a decrease of $3.8 million in accounts payable, a decrease of $0.5 million in the operating lease liability and an increase of $0.2 million in prepaid expenses and other current assets, partially offset by an increase of $0.1 million in accrued expenses and other current liabilities.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in the three months ended March 31, 2025 was primarily due to our net loss for the period of $21.2 million and a net change of $3.9 million in our net operating assets and liabilities, partially offset by non-cash items totaling $2.3 million. The non-cash amounts consisted of $1.8 million related to stock-based compensation expense, $0.3 million related to depreciation and amortization expense and $0.2 million of non-cash lease expense. The changes in our net operating assets and liabilities were primarily due to a decrease of $2.6 million in accrued expenses and other current liabilities, a decrease of $1.0 million in accounts payable, a decrease of $0.3 million in operating lease liability, and an increase of $0.2 million in prepaid expenses and other current assets, offset by a decrease of $0.3 million in other non-current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cash flows from investing activities for the three months ended March 31, 2026. Cash used in investing activities was less than $0.1 million for the three months ended March 31, 2025, consisting of sales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cash flows from financing activities for each of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disclosed in Note 2 to the condensed consolidated financial statements included in Part I - Item 1 of this Quarterly Report and Note 2 to the condensed consolidated financial statements included in Part II - Item 8 of the Annual Report on Form 10-K for the year ended December 31, 2025, filed with the SEC on March 30, 2026. There have been no material changes to our significant accounting policies since the date of issuance of our consolidated financial statements for the year ended December 31, 2025.</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See Note 2 to the condensed consolidated financial statements included in Part I - Item 1 of this Quarterly Report for more information regarding recently issued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during the three months ended March 31, 2026. For a discussion of our exposure to market risk, refer to the section titled “Quantitative and Qualitative Disclosures About Market Risk” included in Part II - Item 7A of the Annual Report on Form 10-K for the year ended December 31, 2025, filed with the SEC on March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We, from time to time, may be party to litigation arising in the ordinary course of business. On September 19, 2025, a shareholder class action complaint captioned </w:t>
      </w:r>
      <w:r>
        <w:rPr>
          <w:rFonts w:ascii="Times New Roman" w:cs="Times New Roman" w:eastAsia="Times New Roman" w:hAnsi="Times New Roman"/>
          <w:sz w:val="17"/>
          <w:szCs w:val="17"/>
          <w:i w:val="1"/>
          <w:iCs w:val="1"/>
          <w:color w:val="auto"/>
        </w:rPr>
        <w:t>Grant v. Jasper Therapeutics, Inc., et al.</w:t>
      </w:r>
      <w:r>
        <w:rPr>
          <w:rFonts w:ascii="Times New Roman" w:cs="Times New Roman" w:eastAsia="Times New Roman" w:hAnsi="Times New Roman"/>
          <w:sz w:val="17"/>
          <w:szCs w:val="17"/>
          <w:color w:val="auto"/>
        </w:rPr>
        <w:t xml:space="preserve"> (Case No. 25-cv-08010) was filed in the United States District Court for the Northern District of California against us and certain of our current and former officers. The complaint alleges that certain material misstatements or omissions related to the ongoing clinical trials of briquilimab were made in violation of federal securities laws. The plaintiffs are seeking unspecified monetary damages and an award of costs and expenses, including reasonable attorneys’ fees, expert fees and other costs. On December 3, 2025, a stipulated order was entered appointing co-lead plaintiffs and approving their selection of co-lead counsel, and on December 16, 2025, a stipulated order was entered setting a schedule for the filing and responses to an amended complaint. Per the terms of the December 16, 2025 stipulated order, an amended complaint captioned </w:t>
      </w:r>
      <w:r>
        <w:rPr>
          <w:rFonts w:ascii="Times New Roman" w:cs="Times New Roman" w:eastAsia="Times New Roman" w:hAnsi="Times New Roman"/>
          <w:sz w:val="17"/>
          <w:szCs w:val="17"/>
          <w:i w:val="1"/>
          <w:iCs w:val="1"/>
          <w:color w:val="auto"/>
        </w:rPr>
        <w:t>Allard, 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al. v. Jasper Therapeutics, Inc., et al. </w:t>
      </w:r>
      <w:r>
        <w:rPr>
          <w:rFonts w:ascii="Times New Roman" w:cs="Times New Roman" w:eastAsia="Times New Roman" w:hAnsi="Times New Roman"/>
          <w:sz w:val="17"/>
          <w:szCs w:val="17"/>
          <w:color w:val="auto"/>
        </w:rPr>
        <w:t>(Case No. 25-cv-08010) was filed, and defendants’ motion to dismiss was filed on April 20, 2026.</w:t>
      </w:r>
    </w:p>
    <w:p>
      <w:pPr>
        <w:spacing w:after="0" w:line="17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addition, on November 5, 2025, a shareholder derivative complaint captioned </w:t>
      </w:r>
      <w:r>
        <w:rPr>
          <w:rFonts w:ascii="Times New Roman" w:cs="Times New Roman" w:eastAsia="Times New Roman" w:hAnsi="Times New Roman"/>
          <w:sz w:val="18"/>
          <w:szCs w:val="18"/>
          <w:i w:val="1"/>
          <w:iCs w:val="1"/>
          <w:color w:val="auto"/>
        </w:rPr>
        <w:t>Bardauskas v. Martell, et al</w:t>
      </w:r>
      <w:r>
        <w:rPr>
          <w:rFonts w:ascii="Times New Roman" w:cs="Times New Roman" w:eastAsia="Times New Roman" w:hAnsi="Times New Roman"/>
          <w:sz w:val="18"/>
          <w:szCs w:val="18"/>
          <w:color w:val="auto"/>
        </w:rPr>
        <w:t xml:space="preserve">. (Case No. 25-cv-09561) was filed in the United States District Court for the Northern District of California, and on December 22, 2025, another shareholder derivative complaint was filed in the same court and captioned </w:t>
      </w:r>
      <w:r>
        <w:rPr>
          <w:rFonts w:ascii="Times New Roman" w:cs="Times New Roman" w:eastAsia="Times New Roman" w:hAnsi="Times New Roman"/>
          <w:sz w:val="18"/>
          <w:szCs w:val="18"/>
          <w:i w:val="1"/>
          <w:iCs w:val="1"/>
          <w:color w:val="auto"/>
        </w:rPr>
        <w:t>Walsh v. Martell, et al.</w:t>
      </w:r>
      <w:r>
        <w:rPr>
          <w:rFonts w:ascii="Times New Roman" w:cs="Times New Roman" w:eastAsia="Times New Roman" w:hAnsi="Times New Roman"/>
          <w:sz w:val="18"/>
          <w:szCs w:val="18"/>
          <w:color w:val="auto"/>
        </w:rPr>
        <w:t xml:space="preserve"> (Case No. 25-cv-10899). The derivative complaints name as defendants certain of our current and former officers and directors, and allege claims related to the allegations raised in the shareholder class action complaint. On January 21, 2026, a stipulated order was entered, among other things, consolidating and staying the derivative actions. We believe the claims raised in these lawsuits are without merit, and intend to defend these matters vigorously. However, there can be no assurance that we will prevail. We are unable to determine whether any loss ultimately will occur or to estimate the range of such loss; therefore, no amount of loss has been accrued in our financial statements as of and for the three months ended March 31, 2026. Regardless of outcome, litigation can have an adverse impact on us due to costs involved, diversion of management resources, negative publicity, reputational harm, and other factors.</w:t>
      </w:r>
    </w:p>
    <w:p>
      <w:pPr>
        <w:spacing w:after="0" w:line="19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are not currently a party to any other legal proceedings which, individually or in the aggregate, would have a material adverse effect on our consolidated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Our Annual Report on Form 10-K for the year ended December 31, 2025, filed with the SEC on March 30, 2026, in Part I –Item 1A, Risk Factors, describes important risk factors that could cause our business, financial condition, results of operations and growth prospects to differ materially from those indicated or suggested by forward-looking statements made in this Quarterly Report or presented elsewhere by management from time to time. Except as set forth below, there have been no material changes in the risk factors that appear in Part I - Item 1A of our Annual Report on Form 10-K for the year ended December 31, 2025, filed with the SEC on March 30, 2026. Additional risks and uncertainties not currently known to us or that we currently deem to be immaterial may also materially and adversely affect our business.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and negative operating cash flows since our inception which raises substantial doubt about our ability to continue as a going concern. We expect to incur net losses for the foreseeable future and may never achieve or maintain profitability.</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a clinical-stage biotechnology company dedicated to enabling cures through therapeutics targeting mast and hematopoietic stem cells and have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and negative operating cash flows in each period since our inception, which raises substantial doubt about our ability to continue as a going concern beyond one year from the date of filing of this Quarterly Report on Form 10-Q. See below risk factor, “As a result of our history of losses and negative cash flows from operations, our management has performed an analysis and concluded that substantial doubt exists about our ability to continue as a going concern, and we will need to raise additional financing to continue our products’ development.” for additional details. For the three months ended March 31, 2026 and 2025, we reported net losses of $1.2 million and $21.2 million, respectively. For the three months ended March 31, 2026 and 2025, we reported negative operating cash flows of $14.5 million and $22.8 million, respectively. As of March 31, 2026, we had an accumulated deficit of $317.8 million. We have devoted all of our efforts to organizing and staffing our company, business and scientific planning, raising capital, acquiring and developing technology, identifying potential product candidates, undertaking research and preclinical studies of potential product candidates, developing manufacturing capabilities and evaluating a clinical path for our pipeline programs. We expect to continue to incur significant expenses and increasing operating losses for the foreseeable future, and we expect these losses to increase as we continue our research and development of, and seek regulatory approvals for, our product candidates.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net losses we incur may fluctuate significantly from quarter to quarter. We anticipate that our expenses will increase substantially if and as we:</w:t>
      </w:r>
    </w:p>
    <w:p>
      <w:pPr>
        <w:spacing w:after="0" w:line="237"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briquilimab in chronic diseases such as CSU and Chronic Inducible Urticaria (“CIndU”);</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continue development of briquilimab in allergic asthma;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programs and development of other potential product candidates from our current research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product candidates and research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any other product candidates we identify and develop;</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 candidates for which we may obtain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any approved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and clinical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commercial personnel and advance market access and reimbursement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in-license manufacturing and distribution technologies;</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decide to do so and receive approval for any of our product candidates, build and maintain, or purchase and validate, commercial-scale manufacturing facilities designed to comply with current Good Manufacturing Practices (“cGMP”) requirements;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 a company, we have not completed clinical development of any product candidate and expect that it will be several years, if ever, before we have a product candidate ready for commercialization. To become and remain profitable, we must develop and, either directly or through collaborators, eventually commercialize a product or products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products for which we may obtain marketing approval and satisfying any post-marketing requirements.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never succeed in these activities and, even if we do, may never generate revenues that are significant or large enough to achieve profitability. Our product candidates and research programs are currently only in the early stages of development. Because of the numerous risks and uncertainties associated with developing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which may not be available on acceptable terms, or at all. If we are unable to raise capital when needed, we would be forced to delay, reduce or eliminate our research and product development programs or future commercialization efforts.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expect to spend substantial amounts of cash to conduct further research and development and preclinical testing and clinical trials of our product candidates, to seek regulatory approvals for our product candidates and to launch and commercialize any product candidates for which we receive regulatory approval. Furthermore, we expect to incur additional costs associated with operating as a public company. Accordingly, we will need to obtain substantial additional funding in order to maintain our continuing operations. If we are unable to raise capital when needed or on attractive terms, we would be forced to delay, reduce or eliminate our research and product development programs or future commercialization efforts. For example, advancing any future clinical studies in asthma would be based on an evaluation of the competitive landscape, the potential for strategic partnerships and capital availability. As of March 31, 2026, our cash and cash equivalents were $14.1 million and we had an accumulated deficit of $317.8 million. We will need to raise additional financing to continue our products’ development for the foreseeable future, and will continue to need to do so until we become profitable. Our future financing requirements will depend on many factors, including:</w:t>
      </w:r>
    </w:p>
    <w:p>
      <w:pPr>
        <w:spacing w:after="0" w:line="188"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build our technology platform for use in developing our product candidates;</w:t>
      </w:r>
    </w:p>
    <w:p>
      <w:pPr>
        <w:spacing w:after="0" w:line="225"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acquiring or in-licensing additional targeted therapies to use in combination with briquilimab and other product candidates we may develop;</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 in the United States and internationally;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may in-license;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enter into;</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U.S. Food and Drug Administration (the “FDA”), the European Medicines Agency (the “EMA”)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w:t>
      </w:r>
    </w:p>
    <w:p>
      <w:pPr>
        <w:spacing w:after="0" w:line="183"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We currently have an effective universal shelf registration statement on Form S-3, which we filed with the SEC on March 19, 2025, and which was declared effective on March 26, 2025 and will expire on March 26, 2028 (the “Shelf Registration Statement”). Pursuant to the Shelf Registration Statement, we may offer from time to time up to an aggregate of $300.0 million of securities, including any combination of common stock, preferred stock,</w:t>
      </w:r>
    </w:p>
    <w:p>
      <w:pPr>
        <w:spacing w:after="0" w:line="2"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debt securities, warrants, rights, units and depositary shares. On March 19, 2025, we entered into an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with Jefferies LLC (the “Agent”), pursuant to which we may offer and sell through or to the Agent, as sales agent or principal, shares of common stock from time to time (the “ATM Offering”). On March 26, 2025, we filed with the SEC a prospectus under the Shelf Registration Statement in connection with the ATM Offering (the “ATM Prospectus”), pursuant to which we may offer and sell shares of our common stock having an aggregate offering price of up to $100.0 million. As of March 31, 2026, we have issued and sold an aggregate of 1,231,447 shares of our common stock for net proceeds of approximately $6.5 million pursuant to the ATM Prospectus.</w:t>
      </w:r>
    </w:p>
    <w:p>
      <w:pPr>
        <w:spacing w:after="0" w:line="20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September 22, 2025, we completed an underwritten public offering of our common stock (the “September Offering”) pursuant to the Shelf Registration Statement. In the September Offering, we sold (i) an aggregate of 11,670,707 shares of common stock and accompanying warrants (the “Common Warrants”) to purchase up to an aggregate of 11,670,707 shares of common stock and (ii) pre-funded warrants to purchase up to an aggregate of 675,000 shares of common stock (the “Pre-Funded Warrants”) and accompanying Common Warrants to purchase up to an aggregate of 675,000 shares of common stock. Upon the closing of the September Offering, we received net proceeds of $27.5 million, after deducting underwriting discounts, commissions and other offering expenses.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$93.5 million remains allocated and available under the ATM Prospectus and approximately $170.0 million remains available and unallocated under the Shelf Registration Statement. However, as of March 31, 2026, the aggregate market value of our common stock held by non-affiliates (“public float”) is less than $75.0 million, so the amount we can raise through primary public offerings of securities, including through the ATM offering, in any twelve-month period using shelf registration statements is limited to an aggregate of one-third of our public float. Although we still maintain the ability to raise funds through other means, such as through the filing of a registration statement on Form S-1 or in private placements, the rules and regulations of the SEC or any other regulatory agencies may restrict our ability to conduct certain types of financing activities, or may affect the timing of and amounts we can raise by undertaking such activities.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we raise additional capital by issuing equity securities, the percentage ownership of our existing stockholders may be reduced, and accordingly these stockholders may experience substantial dilution. We may also issue equity securities that provide for rights, preferences and privileges senior to those of our common stock. Given our need for cash and that equity issuances are the most common type of fundraising for similarly situated companies, the risk of dilution is particularly significant for our stockholders.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our day-to-day activities, which may adversely affect our ability to develop and commercialize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our history of losses and negative cash flows from operations, our management has performed an analysis and concluded that substantial doubt exists about our ability to continue as a going concern, and we will need to raise additional financing to continue our products’ development.</w:t>
      </w:r>
    </w:p>
    <w:p>
      <w:pPr>
        <w:spacing w:after="0" w:line="159" w:lineRule="exact"/>
        <w:rPr>
          <w:sz w:val="20"/>
          <w:szCs w:val="20"/>
          <w:color w:val="auto"/>
        </w:rPr>
      </w:pPr>
    </w:p>
    <w:p>
      <w:pPr>
        <w:ind w:right="20" w:firstLine="583"/>
        <w:spacing w:after="0" w:line="252" w:lineRule="auto"/>
        <w:rPr>
          <w:sz w:val="20"/>
          <w:szCs w:val="20"/>
          <w:color w:val="auto"/>
        </w:rPr>
      </w:pPr>
      <w:r>
        <w:rPr>
          <w:rFonts w:ascii="Times New Roman" w:cs="Times New Roman" w:eastAsia="Times New Roman" w:hAnsi="Times New Roman"/>
          <w:sz w:val="18"/>
          <w:szCs w:val="18"/>
          <w:color w:val="auto"/>
        </w:rPr>
        <w:t>Our history of operating losses and negative cash flows from operations combined with our anticipated use of cash to fund operations raises substantial doubt about our ability to continue as a going concern beyond one year from the date of filing of this Quarterly Report on Form 10-Q. Our financial statements as of March 31, 2026 do not include any adjustments that might result from the outcome of this uncertainty. Based on our current operating plan, we will need to raise additional financing to continue our products’ development for the foreseeable future, and until we become profitable. Our future viability as an ongoing business is dependent on our ability to generate cash from our operating activities or to raise additional capital to finance our operations. We expect to finance our future cash needs through equity or debt financings, collaborations or a combination of these approaches, and given the imminent need for additional funding to continue to fund operations in the near-term, we are actively seeking additional capital to extend the cash runway.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or making capital expenditures. Our ability to raise additional funds may be adversely impacted by negative global economic conditions and any disruptions to and volatility in the credit and financial markets in the United States and worldwide or other factors. There can be no assurance that we will be successful in acquiring additional funding at levels sufficient to fund our operations or on terms favorable or acceptable to us. While we routinely evaluate cost reduction measures to proactively manage cash burn, if we are unable to obtain adequate financing when needed or on terms favorable or acceptable to us, we may be forced to take broader actions such as to delay, reduce the scope of or eliminate one or more of our research and development programs.</w:t>
      </w:r>
    </w:p>
    <w:p>
      <w:pPr>
        <w:spacing w:after="0" w:line="19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perception that we might be unable to continue as a going concern may also make it more difficult to obtain financing for the continuation of our operations on terms that are favorable to us, or at all, and could result in the loss of confidence by investors and employees. Our consolidated financial statements do not include any adjustments that might result from the outcome of this uncertainty. If we are unable to continue as a going concern, we may have to liquidate our assets and may receive less than the value at which those assets are carried on our consolidated financial statements, and it is likely that our investors will lose all or a part of their investment.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Warrants</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operations and performance do not meet the expectations of investors or securities analysts or for other reasons, the market price of our securities may decline, and the market price of our common stock may continue to be volatile.</w:t>
      </w:r>
    </w:p>
    <w:p>
      <w:pPr>
        <w:spacing w:after="0" w:line="15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22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in Iran and other conflicts and instability in the Middle East, the ongoing conflict between Ukraine and Russia, instability in Venezuela and other geopolitical conflicts and the global impact of restrictions and sanctions imposed on Russia and the impact thereof on the markets generally, including any adverse effects on macroeconomic conditions such as inflation;</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any future clinical trials we may conduct, or changes in the development status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or termination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market acceptance of our product candidates following approval for commercialization;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225"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business or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rights, including patents, litigation matters and our ability to obtain, maintain, defend, protect and enforce patent and other intellectual property rights for our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healthcare laws in the U.S. or foreign jurisdictions, or speculation regarding such changes;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4" w:name="page45"/>
    <w:bookmarkEnd w:id="44"/>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Nasdaq and pharmaceutical companies in particular have experienced extreme price and volume fluctuations that have often been unrelated or disproportionate to the operating performance of these companies. The trading price of our common stock is, and is likely to continue to be, volatile. For example, from January 2, 2025 to December 31, 2025, our closing stock price ranged from $1.58 to $21.09 per share. From January 2, 2026 to May 11, 2026, our closing stock price ranged from $0.67 to $2.05 per share. Broad market and industry factors may negatively affect the market price of our securities, regardless of our actual operating performance. As a result of this volatility, our stockholders may not be able to sell their common stock at or above the prices at which they purchased their shares. Moreover,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could limit your ability to affect the outcome of key transactions, including a change of control.</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our directors and executive officers and their affiliates beneficially owned approximately 15.6% of the outstanding shares of our common stock. As a result, these stockholders, if they act together, will be able to influence our management and affairs and all matters requiring stockholder approval, including the election of directors and approval of significant corporate transactions, such as a merger or other sale of our company or our assets. This concentration of ownership may have the effect of delaying or preventing a change in control of our company or discouraging a potential acquirer from making a tender offer or otherwise attempting to obtain control, even if that change in control would benefit our other stockholders. This significant concentration of ownership may also adversely affect the trading price for our common stock because investors often perceive disadvantages in owning stock in companies with controlling stockholders.</w:t>
      </w:r>
    </w:p>
    <w:p>
      <w:pPr>
        <w:spacing w:after="0" w:line="1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stockholders in the public market, the issuance of rights to purchase our common stock, including pursuant to the 2024 Plan and the 2024 ESPP, and future exercises of registration rights could result in the additional dilution of the percentage ownership of our stockholders and cause the market price for our common stock to decline.</w:t>
      </w:r>
    </w:p>
    <w:p>
      <w:pPr>
        <w:spacing w:after="0" w:line="17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sale of shares of our common stock, convertible securities or other equity securities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In addition, if we sell shares of our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Jasper Therapeutics, Inc. 2024 Equity Incentive Plan (the “2024 Plan”), which became effective on June 6, 2024, we are authorized to grant equity awards to our employees, directors and consultants. In addition, pursuant to the Jasper Therapeutics, Inc. 2024 Employee Stock Purchase Plan (the “2024 ESPP”), which became effective on June 6, 2024, we are authorized to sell shares to our employees. As of March 31, 2026, 418,817 shares and 920,827 shares of our common stock are reserved for future issuance under the 2024 Plan and the 2024 ESPP,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14, 2022, the Compensation Committee of our Board of Directors (the “Compensation Committee”) adopted the 2022 Inducement Equity Incentive Plan (the “2022 Inducement Plan”). On June 2, 2023, the Compensation Committee approved an amendment and restatement of our 2022 Inducement Plan to increase the maximum number of shares of our voting common stock available for grant by 250,000 shares of common stock to an aggregate of 550,000 shares of common stock. As of March 31, 2026, 180,960 shares of our common stock are available for future issuance under the 2022 Inducement Plan. The 2022 Inducement Plan has not been and will not be approved by our stockholders. Under the 2022 Inducement Plan, we can grant nonstatutory stock options, restricted stock awards, stock appreciation rights, restricted stock units, performance awards and other awards, but only to an individual, as a material inducement to such individual to enter into employment with us or an affiliate of ours, who (i) has not previously been an employee or director of ours or (ii) is rehired following a bona fide period of non-employment with us.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options to purchase an aggregate of 2,671,358 shares of our common stock were outstanding.</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Additionally, as of March 31, 2026, we had outstanding Pre-Funded Warrants to purchase up to an aggregate of 675,000 shares of common stock and Common Warrants to purchase up to an aggregate of 12,345,707 shares of common stock, which, if exercised, would further increase the number of shares of our common stock outstanding and the number of shares eligible for resale in the public market.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or officers (as defined in Section 16 of the Exchange Act)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73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Filed</w:t>
            </w:r>
          </w:p>
        </w:tc>
        <w:tc>
          <w:tcPr>
            <w:tcW w:w="1120" w:type="dxa"/>
            <w:vAlign w:val="bottom"/>
          </w:tcPr>
          <w:p>
            <w:pPr>
              <w:spacing w:after="0"/>
              <w:rPr>
                <w:sz w:val="24"/>
                <w:szCs w:val="24"/>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Registrant’s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with the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40" w:type="dxa"/>
            <w:vAlign w:val="bottom"/>
            <w:gridSpan w:val="1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00" w:type="dxa"/>
            <w:vAlign w:val="bottom"/>
            <w:tcBorders>
              <w:top w:val="single" w:sz="8" w:color="auto"/>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Second Amended and Restated Certificate of Incorporation of the Registrant, dated</w:t>
              </w:r>
            </w:hyperlink>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9/29/2021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September 24, 2021.</w:t>
              </w:r>
            </w:hyperlink>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Certificate of Amendment to the Second Amended and Restated Certificate of</w:t>
              </w:r>
            </w:hyperlink>
          </w:p>
        </w:tc>
        <w:tc>
          <w:tcPr>
            <w:tcW w:w="560" w:type="dxa"/>
            <w:vAlign w:val="bottom"/>
            <w:tcBorders>
              <w:bottom w:val="single" w:sz="8" w:color="CCEEFF"/>
            </w:tcBorders>
            <w:gridSpan w:val="7"/>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6/8/2023</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Incorporation, dated June 8, 2023.</w:t>
              </w:r>
            </w:hyperlink>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5"/>
                <w:szCs w:val="15"/>
                <w:color w:val="auto"/>
              </w:rPr>
            </w:pPr>
          </w:p>
        </w:tc>
        <w:tc>
          <w:tcPr>
            <w:tcW w:w="62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Second Amendment to the Second Amended and Restated Certificate</w:t>
              </w:r>
            </w:hyperlink>
          </w:p>
        </w:tc>
        <w:tc>
          <w:tcPr>
            <w:tcW w:w="1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1/3/2024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of Incorporation of Jasper Therapeutics, Inc. January 3, 2024.</w:t>
              </w:r>
            </w:hyperlink>
          </w:p>
        </w:tc>
        <w:tc>
          <w:tcPr>
            <w:tcW w:w="200" w:type="dxa"/>
            <w:vAlign w:val="bottom"/>
            <w:tcBorders>
              <w:top w:val="single" w:sz="8" w:color="CCEEFF"/>
            </w:tcBorders>
            <w:gridSpan w:val="2"/>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7"/>
                <w:szCs w:val="17"/>
                <w:color w:val="auto"/>
              </w:rPr>
            </w:pPr>
          </w:p>
        </w:tc>
        <w:tc>
          <w:tcPr>
            <w:tcW w:w="62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Third Amended and Restated Bylaws of the Registrant.</w:t>
              </w:r>
            </w:hyperlink>
          </w:p>
        </w:tc>
        <w:tc>
          <w:tcPr>
            <w:tcW w:w="1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2/17/2023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55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Warrant Agreement, dated November 19, 2019, by and between the</w:t>
              </w:r>
            </w:hyperlink>
          </w:p>
        </w:tc>
        <w:tc>
          <w:tcPr>
            <w:tcW w:w="700" w:type="dxa"/>
            <w:vAlign w:val="bottom"/>
            <w:tcBorders>
              <w:bottom w:val="single" w:sz="8" w:color="CCEEFF"/>
            </w:tcBorders>
            <w:gridSpan w:val="9"/>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11/25/2019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Registrant and Continental Stock Transfer &amp; Trust Company, as warrant agent.</w:t>
              </w:r>
            </w:hyperlink>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62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Specimen Warrant Certificate.</w:t>
              </w:r>
            </w:hyperlink>
          </w:p>
        </w:tc>
        <w:tc>
          <w:tcPr>
            <w:tcW w:w="134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11/6/2019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62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Pre-Funded Warrant to Purchase Common Stock.</w:t>
              </w:r>
            </w:hyperlink>
          </w:p>
        </w:tc>
        <w:tc>
          <w:tcPr>
            <w:tcW w:w="1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9/19/2025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7"/>
                <w:szCs w:val="17"/>
                <w:color w:val="auto"/>
              </w:rPr>
            </w:pPr>
          </w:p>
        </w:tc>
        <w:tc>
          <w:tcPr>
            <w:tcW w:w="62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Common Warrant.</w:t>
              </w:r>
            </w:hyperlink>
          </w:p>
        </w:tc>
        <w:tc>
          <w:tcPr>
            <w:tcW w:w="13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9/19/2025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59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Rule 13a-14(a) or 15d-</w:t>
            </w:r>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14(a) of the Securities Exchange Act of 1934.</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5"/>
                <w:szCs w:val="15"/>
                <w:color w:val="auto"/>
              </w:rPr>
            </w:pPr>
          </w:p>
        </w:tc>
        <w:tc>
          <w:tcPr>
            <w:tcW w:w="62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15d-</w:t>
            </w: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80" w:type="dxa"/>
            <w:vAlign w:val="bottom"/>
            <w:tcBorders>
              <w:top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14(a) of the Securities Exchange Act of 1934.</w:t>
            </w:r>
          </w:p>
        </w:tc>
        <w:tc>
          <w:tcPr>
            <w:tcW w:w="320" w:type="dxa"/>
            <w:vAlign w:val="bottom"/>
            <w:tcBorders>
              <w:top w:val="single" w:sz="8" w:color="CCEEFF"/>
            </w:tcBorders>
            <w:gridSpan w:val="4"/>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5"/>
                <w:szCs w:val="15"/>
                <w:color w:val="auto"/>
              </w:rPr>
            </w:pPr>
          </w:p>
        </w:tc>
        <w:tc>
          <w:tcPr>
            <w:tcW w:w="62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and Principal Financial Officer</w:t>
            </w: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620" w:type="dxa"/>
            <w:vAlign w:val="bottom"/>
            <w:tcBorders>
              <w:top w:val="single" w:sz="8" w:color="0000EE"/>
              <w:bottom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 Section 1350, as adopted pursuant to Section 906 of the</w:t>
            </w:r>
          </w:p>
        </w:tc>
        <w:tc>
          <w:tcPr>
            <w:tcW w:w="4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200" w:type="dxa"/>
            <w:vAlign w:val="bottom"/>
            <w:gridSpan w:val="1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6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6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6200" w:type="dxa"/>
            <w:vAlign w:val="bottom"/>
            <w:gridSpan w:val="1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Jeet Mahal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Jeet Mahal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tab/>
        <w:t>/s/ Herb 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Herb Cross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Jeet Mahal,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Jasper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Jeet Mahal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Jeet Mahal</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2026</w:t>
      </w:r>
    </w:p>
    <w:p>
      <w:pPr>
        <w:sectPr>
          <w:pgSz w:w="11900" w:h="16838" w:orient="portrait"/>
          <w:cols w:equalWidth="0" w:num="1">
            <w:col w:w="11240"/>
          </w:cols>
          <w:pgMar w:left="320" w:top="10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Herb Cross,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Jasper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Herb 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Herb Cross</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2026</w:t>
      </w:r>
    </w:p>
    <w:p>
      <w:pPr>
        <w:sectPr>
          <w:pgSz w:w="11900" w:h="16838" w:orient="portrait"/>
          <w:cols w:equalWidth="0" w:num="1">
            <w:col w:w="11240"/>
          </w:cols>
          <w:pgMar w:left="320" w:top="108" w:right="339" w:bottom="1440" w:gutter="0" w:footer="0" w:header="0"/>
        </w:sectPr>
      </w:pPr>
    </w:p>
    <w:bookmarkStart w:id="50" w:name="page51"/>
    <w:bookmarkEnd w:id="50"/>
    <w:p>
      <w:pPr>
        <w:ind w:left="1012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Jasper Therapeutics, Inc. (the “Company”) for the period ended March 31, 2026 as filed with the Securities and Exchange Commission on the date hereof (the “Report”), the undersigned hereby certify, pursuant to 18 U.S.C. Section 1350, as adopted pursuant to Section 906 of the Sarbanes-Oxley Act of 2002, to their knowledge that:</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Jeet Mahal</w:t>
            </w:r>
          </w:p>
        </w:tc>
        <w:tc>
          <w:tcPr>
            <w:tcW w:w="25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Herb Cross</w:t>
            </w:r>
          </w:p>
        </w:tc>
      </w:tr>
      <w:tr>
        <w:trPr>
          <w:trHeight w:val="234"/>
        </w:trPr>
        <w:tc>
          <w:tcPr>
            <w:tcW w:w="4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Jeet Mahal</w:t>
            </w:r>
          </w:p>
        </w:tc>
        <w:tc>
          <w:tcPr>
            <w:tcW w:w="25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Herb Cross</w:t>
            </w:r>
          </w:p>
        </w:tc>
      </w:tr>
      <w:tr>
        <w:trPr>
          <w:trHeight w:val="393"/>
        </w:trPr>
        <w:tc>
          <w:tcPr>
            <w:tcW w:w="46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258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Corporate Secretary</w:t>
            </w:r>
          </w:p>
        </w:tc>
      </w:tr>
      <w:tr>
        <w:trPr>
          <w:trHeight w:val="218"/>
        </w:trPr>
        <w:tc>
          <w:tcPr>
            <w:tcW w:w="46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58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234"/>
        </w:trPr>
        <w:tc>
          <w:tcPr>
            <w:tcW w:w="4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14, 2026</w:t>
            </w:r>
          </w:p>
        </w:tc>
        <w:tc>
          <w:tcPr>
            <w:tcW w:w="25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14, 2026</w:t>
            </w:r>
          </w:p>
        </w:tc>
      </w:tr>
    </w:tbl>
    <w:p>
      <w:pPr>
        <w:spacing w:after="0" w:line="19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lvl w:ilvl="1">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lvl w:ilvl="1">
      <w:lvlJc w:val="left"/>
      <w:lvlText w:val="●"/>
      <w:numFmt w:val="bullet"/>
      <w:start w:val="1"/>
    </w:lvl>
  </w:abstractNum>
  <w:abstractNum w:abstractNumId="8">
    <w:nsid w:val="4E6AFB66"/>
    <w:multiLevelType w:val="hybridMultilevel"/>
    <w:lvl w:ilvl="0">
      <w:lvlJc w:val="left"/>
      <w:lvlText w:val="●"/>
      <w:numFmt w:val="bullet"/>
      <w:start w:val="1"/>
    </w:lvl>
    <w:lvl w:ilvl="1">
      <w:lvlJc w:val="left"/>
      <w:lvlText w:val="o"/>
      <w:numFmt w:val="bullet"/>
      <w:start w:val="1"/>
    </w:lvl>
  </w:abstractNum>
  <w:abstractNum w:abstractNumId="9">
    <w:nsid w:val="25E45D32"/>
    <w:multiLevelType w:val="hybridMultilevel"/>
    <w:lvl w:ilvl="0">
      <w:lvlJc w:val="left"/>
      <w:lvlText w:val="o"/>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67" Type="http://schemas.openxmlformats.org/officeDocument/2006/relationships/hyperlink" Target="http://www.sec.gov/Archives/edgar/data/1788028/000121390021050592/ea147929ex3-1_jasper.htm" TargetMode="External"/><Relationship Id="rId68" Type="http://schemas.openxmlformats.org/officeDocument/2006/relationships/hyperlink" Target="http://www.sec.gov/Archives/edgar/data/1788028/000121390023047446/ea179979ex3-1_jasper.htm" TargetMode="External"/><Relationship Id="rId69" Type="http://schemas.openxmlformats.org/officeDocument/2006/relationships/hyperlink" Target="http://www.sec.gov/Archives/edgar/data/1788028/000121390024000980/ea191024ex3-1_jasper.htm" TargetMode="External"/><Relationship Id="rId70" Type="http://schemas.openxmlformats.org/officeDocument/2006/relationships/hyperlink" Target="http://www.sec.gov/Archives/edgar/data/1788028/000121390023012596/ea173877ex3-1_jasper.htm" TargetMode="External"/><Relationship Id="rId71" Type="http://schemas.openxmlformats.org/officeDocument/2006/relationships/hyperlink" Target="http://www.sec.gov/Archives/edgar/data/1788028/000121390019024606/f8k1119ex4-1_amplitude.htm" TargetMode="External"/><Relationship Id="rId72" Type="http://schemas.openxmlformats.org/officeDocument/2006/relationships/hyperlink" Target="http://www.sec.gov/Archives/edgar/data/1788028/000121390019022224/fs12019a1ex4-3_amplitude.htm" TargetMode="External"/><Relationship Id="rId73" Type="http://schemas.openxmlformats.org/officeDocument/2006/relationships/hyperlink" Target="http://www.sec.gov/Archives/edgar/data/1788028/000121390025089584/ea025802601ex4-1_jasper.htm" TargetMode="External"/><Relationship Id="rId74" Type="http://schemas.openxmlformats.org/officeDocument/2006/relationships/hyperlink" Target="http://www.sec.gov/Archives/edgar/data/1788028/000121390025089584/ea025802601ex4-2_jasp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2026-05-14T15:19:47Z</dcterms:created>
  <dcterms:modified xsi:type="dcterms:W3CDTF">2026-05-14T15:19:47Z</dcterms:modified>
</cp:coreProperties>
</file>