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WIGGANS THOMAS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JASPER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BRIDGE PKWY,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Jasper Therapeutics, Inc.</w:t>
              </w:r>
            </w:hyperlink>
            <w:r>
              <w:rPr/>
              <w:t xml:space="preserve"> [ </w:t>
            </w:r>
            <w:r>
              <w:rPr>
                <w:rFonts w:ascii="Times;serif" w:hAnsi="Times;serif"/>
                <w:color w:val="0000FF"/>
                <w:sz w:val="24"/>
                <w:shd w:fill="FFFFFF" w:val="clear"/>
              </w:rPr>
              <w:t>JSPR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07/31/2027</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07/31/2036</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automatically pursuant to the Issuer's Non-Employee Director Compensation Policy, which provides that non-employee directors are automatically granted an option to purchase 7,500 shares on the date of each of the Issuer's annual meeting of stockholders, which shall vest in full upon the first anniversary of the date of the grant, subject to the director's continued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Herb Cross,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8907" TargetMode="External"/><Relationship Id="rId5" Type="http://schemas.openxmlformats.org/officeDocument/2006/relationships/hyperlink" Target="http://www.sec.gov/cgi-bin/browse-edgar?action=getcompany&amp;CIK=00017880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3501</Characters>
  <CharactersWithSpaces>4068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