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Crutcher Patrick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JASPER THERAPEUTICS,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2200 BRIDGE PKWY, SUITE #102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07/16/2026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Jasper Therapeutics, Inc.</w:t>
              </w:r>
            </w:hyperlink>
            <w:r>
              <w:rPr/>
              <w:t xml:space="preserve"> [ </w:t>
            </w:r>
            <w:r>
              <w:rPr>
                <w:rFonts w:ascii="Times;serif" w:hAnsi="Times;serif"/>
                <w:color w:val="0000FF"/>
                <w:sz w:val="24"/>
                <w:shd w:fill="FFFFFF" w:val="clear"/>
              </w:rPr>
              <w:t>JSPR</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518,331</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792"/>
        <w:gridCol w:w="1222"/>
        <w:gridCol w:w="1124"/>
        <w:gridCol w:w="1288"/>
        <w:gridCol w:w="969"/>
        <w:gridCol w:w="1255"/>
        <w:gridCol w:w="1214"/>
        <w:gridCol w:w="1341"/>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79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4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79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4"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28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6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5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4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9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Non-Voting Convertible Preferred Stock</w:t>
            </w:r>
          </w:p>
        </w:tc>
        <w:tc>
          <w:tcPr>
            <w:tcW w:w="12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Voting Common Stock</w:t>
            </w:r>
          </w:p>
        </w:tc>
        <w:tc>
          <w:tcPr>
            <w:tcW w:w="9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463,452</w:t>
            </w:r>
          </w:p>
        </w:tc>
        <w:tc>
          <w:tcPr>
            <w:tcW w:w="12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the third business day following the receipt of stockholder approval of the conversion of the preferred stock, each share of preferred stock shall automatically convert into 61 shares of the Issuer's voting common stock ("Voting Common Stock"), subject to certain limitations, including that a holder of Preferred Stock is prohibited from converting shares of preferred stock into shares of Voting Common Stock if, as a result of such conversion, such holder, together with its affiliates, would beneficially own more than a specified percentage (to be established by the holder between 4.9% and 19.9%) of the total number of shares of Voting Common Stock issued and outstanding immediately after giving effect to such conversion. The preferred stock has no expiration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Patrick J. Crutcher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754540" TargetMode="External"/><Relationship Id="rId3" Type="http://schemas.openxmlformats.org/officeDocument/2006/relationships/hyperlink" Target="http://www.sec.gov/cgi-bin/browse-edgar?action=getcompany&amp;CIK=0001788028"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527</Words>
  <Characters>2912</Characters>
  <CharactersWithSpaces>3385</CharactersWithSpaces>
  <Paragraphs>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