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6860-8ka1_jasper.htm"/>
      <w:bookmarkStart w:id="1" w:name="ksea03068608ka1_jasper"/>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716__20"/>
      <w:bookmarkEnd w:id="2"/>
      <w:r>
        <w:rPr>
          <w:rFonts w:ascii="Times New Roman;Times;Serif" w:hAnsi="Times New Roman;Times;Serif"/>
          <w:b/>
          <w:i w:val="false"/>
          <w:caps w:val="false"/>
          <w:smallCaps w:val="false"/>
          <w:sz w:val="20"/>
        </w:rPr>
        <w:t>8-K/A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July 16,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JASPER THERAPEUTICS,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195" w:type="dxa"/>
        <w:jc w:val="left"/>
        <w:tblInd w:w="0" w:type="dxa"/>
        <w:tblLayout w:type="fixed"/>
        <w:tblCellMar>
          <w:top w:w="0" w:type="dxa"/>
          <w:left w:w="0" w:type="dxa"/>
          <w:bottom w:w="28" w:type="dxa"/>
          <w:right w:w="0" w:type="dxa"/>
        </w:tblCellMar>
      </w:tblPr>
      <w:tblGrid>
        <w:gridCol w:w="2330"/>
        <w:gridCol w:w="60"/>
        <w:gridCol w:w="2195"/>
        <w:gridCol w:w="60"/>
        <w:gridCol w:w="1550"/>
      </w:tblGrid>
      <w:tr>
        <w:trPr/>
        <w:tc>
          <w:tcPr>
            <w:tcW w:w="2330" w:type="dxa"/>
            <w:tcBorders>
              <w:bottom w:val="single" w:sz="12" w:space="0" w:color="000000"/>
            </w:tcBorders>
            <w:vAlign w:val="center"/>
          </w:tcPr>
          <w:p>
            <w:pPr>
              <w:pStyle w:val="TableContents"/>
              <w:bidi w:val="0"/>
              <w:spacing w:before="0" w:after="283"/>
              <w:jc w:val="center"/>
              <w:rPr/>
            </w:pPr>
            <w:bookmarkStart w:id="5" w:name="xdx_90E_edei--EntityIncorporationStateCo"/>
            <w:bookmarkEnd w:id="5"/>
            <w:r>
              <w:rPr/>
              <w:t>Delaware</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283"/>
              <w:jc w:val="center"/>
              <w:rPr/>
            </w:pPr>
            <w:bookmarkStart w:id="6" w:name="xdx_905_edei--EntityFileNumber_c20260716"/>
            <w:bookmarkEnd w:id="6"/>
            <w:r>
              <w:rPr/>
              <w:t>001-39138</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vAlign w:val="center"/>
          </w:tcPr>
          <w:p>
            <w:pPr>
              <w:pStyle w:val="TableContents"/>
              <w:bidi w:val="0"/>
              <w:spacing w:before="0" w:after="283"/>
              <w:jc w:val="center"/>
              <w:rPr/>
            </w:pPr>
            <w:bookmarkStart w:id="7" w:name="xdx_906_edei--EntityTaxIdentificationNum"/>
            <w:bookmarkEnd w:id="7"/>
            <w:r>
              <w:rPr/>
              <w:t>84-2984849</w:t>
            </w:r>
          </w:p>
        </w:tc>
      </w:tr>
      <w:tr>
        <w:trPr/>
        <w:tc>
          <w:tcPr>
            <w:tcW w:w="2330" w:type="dxa"/>
            <w:tcBorders/>
            <w:tcMar>
              <w:bottom w:w="0" w:type="dxa"/>
            </w:tcMar>
            <w:vAlign w:val="center"/>
          </w:tcPr>
          <w:p>
            <w:pPr>
              <w:pStyle w:val="TableContents"/>
              <w:bidi w:val="0"/>
              <w:spacing w:before="0" w:after="283"/>
              <w:jc w:val="center"/>
              <w:rPr>
                <w:i/>
                <w:sz w:val="20"/>
              </w:rPr>
            </w:pPr>
            <w:r>
              <w:rPr>
                <w:i/>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center"/>
              <w:rPr>
                <w:i/>
                <w:sz w:val="20"/>
              </w:rPr>
            </w:pPr>
            <w:r>
              <w:rPr>
                <w:i/>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i/>
                <w:sz w:val="20"/>
              </w:rPr>
            </w:pPr>
            <w:r>
              <w:rPr>
                <w:i/>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A_edei--EntityAddressAddressLine1_"/>
      <w:bookmarkEnd w:id="8"/>
      <w:r>
        <w:rPr>
          <w:rFonts w:ascii="Times New Roman;Times;Serif" w:hAnsi="Times New Roman;Times;Serif"/>
          <w:b w:val="false"/>
          <w:i w:val="false"/>
          <w:caps w:val="false"/>
          <w:smallCaps w:val="false"/>
          <w:sz w:val="20"/>
        </w:rPr>
        <w:t>2200 Bridge Pkwy Suite #102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A_edei--EntityAddressCityOrTown_c2"/>
      <w:bookmarkEnd w:id="9"/>
      <w:r>
        <w:rPr>
          <w:rFonts w:ascii="Times New Roman;Times;Serif" w:hAnsi="Times New Roman;Times;Serif"/>
          <w:b w:val="false"/>
          <w:i w:val="false"/>
          <w:caps w:val="false"/>
          <w:smallCaps w:val="false"/>
          <w:sz w:val="20"/>
        </w:rPr>
        <w:t xml:space="preserve">Redwood City, </w:t>
      </w:r>
      <w:bookmarkStart w:id="10" w:name="xdx_905_edei--EntityAddressStateOrProvin"/>
      <w:bookmarkEnd w:id="10"/>
      <w:r>
        <w:rPr>
          <w:rFonts w:ascii="Times New Roman;Times;Serif" w:hAnsi="Times New Roman;Times;Serif"/>
          <w:b w:val="false"/>
          <w:i w:val="false"/>
          <w:caps w:val="false"/>
          <w:smallCaps w:val="false"/>
          <w:sz w:val="20"/>
        </w:rPr>
        <w:t xml:space="preserve">CA </w:t>
      </w:r>
      <w:bookmarkStart w:id="11" w:name="xdx_90A_edei--EntityAddressPostalZipCode"/>
      <w:bookmarkEnd w:id="11"/>
      <w:r>
        <w:rPr>
          <w:rFonts w:ascii="Times New Roman;Times;Serif" w:hAnsi="Times New Roman;Times;Serif"/>
          <w:b w:val="false"/>
          <w:i w:val="false"/>
          <w:caps w:val="false"/>
          <w:smallCaps w:val="false"/>
          <w:sz w:val="20"/>
        </w:rPr>
        <w:t>94065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4_edei--CityAreaCode_c20260716__20"/>
      <w:bookmarkEnd w:id="12"/>
      <w:r>
        <w:rPr>
          <w:rFonts w:ascii="Times New Roman;Times;Serif" w:hAnsi="Times New Roman;Times;Serif"/>
          <w:b w:val="false"/>
          <w:i w:val="false"/>
          <w:caps w:val="false"/>
          <w:smallCaps w:val="false"/>
          <w:sz w:val="20"/>
        </w:rPr>
        <w:t xml:space="preserve">650) </w:t>
      </w:r>
      <w:bookmarkStart w:id="13" w:name="xdx_907_edei--LocalPhoneNumber_c20260716"/>
      <w:bookmarkEnd w:id="13"/>
      <w:r>
        <w:rPr>
          <w:rFonts w:ascii="Times New Roman;Times;Serif" w:hAnsi="Times New Roman;Times;Serif"/>
          <w:b w:val="false"/>
          <w:i w:val="false"/>
          <w:caps w:val="false"/>
          <w:smallCaps w:val="false"/>
          <w:sz w:val="20"/>
        </w:rPr>
        <w:t>549-1400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F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A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75" w:type="dxa"/>
        <w:jc w:val="left"/>
        <w:tblInd w:w="0" w:type="dxa"/>
        <w:tblLayout w:type="fixed"/>
        <w:tblCellMar>
          <w:top w:w="0" w:type="dxa"/>
          <w:left w:w="0" w:type="dxa"/>
          <w:bottom w:w="28" w:type="dxa"/>
          <w:right w:w="0" w:type="dxa"/>
        </w:tblCellMar>
      </w:tblPr>
      <w:tblGrid>
        <w:gridCol w:w="4235"/>
        <w:gridCol w:w="60"/>
        <w:gridCol w:w="1610"/>
        <w:gridCol w:w="60"/>
        <w:gridCol w:w="3710"/>
      </w:tblGrid>
      <w:tr>
        <w:trPr/>
        <w:tc>
          <w:tcPr>
            <w:tcW w:w="4235" w:type="dxa"/>
            <w:tcBorders>
              <w:bottom w:val="single" w:sz="12" w:space="0" w:color="000000"/>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235" w:type="dxa"/>
            <w:tcBorders/>
            <w:shd w:fill="CCEEFF" w:val="clear"/>
            <w:tcMar>
              <w:bottom w:w="0" w:type="dxa"/>
            </w:tcMar>
            <w:vAlign w:val="center"/>
          </w:tcPr>
          <w:p>
            <w:pPr>
              <w:pStyle w:val="TableContents"/>
              <w:bidi w:val="0"/>
              <w:spacing w:before="0" w:after="283"/>
              <w:jc w:val="center"/>
              <w:rPr>
                <w:sz w:val="20"/>
              </w:rPr>
            </w:pPr>
            <w:bookmarkStart w:id="18" w:name="xdx_90C_edei--Security12bTitle_c20260716"/>
            <w:bookmarkEnd w:id="18"/>
            <w:r>
              <w:rPr>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5_edei--TradingSymbol_c20260716__2"/>
            <w:bookmarkEnd w:id="19"/>
            <w:r>
              <w:rPr>
                <w:sz w:val="20"/>
              </w:rPr>
              <w:t>JSPR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The</w:t>
            </w:r>
            <w:bookmarkStart w:id="20" w:name="xdx_904_edei--SecurityExchangeName_c2026"/>
            <w:bookmarkEnd w:id="20"/>
            <w:r>
              <w:rPr>
                <w:sz w:val="20"/>
              </w:rPr>
              <w:t xml:space="preserv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 w:name="xdx_90F_edei--AmendmentDescription_c2026"/>
      <w:bookmarkEnd w:id="22"/>
      <w:r>
        <w:rPr>
          <w:rFonts w:ascii="Times New Roman;Times;Serif" w:hAnsi="Times New Roman;Times;Serif"/>
          <w:b w:val="false"/>
          <w:i w:val="false"/>
          <w:caps w:val="false"/>
          <w:smallCaps w:val="false"/>
          <w:sz w:val="20"/>
        </w:rPr>
        <w:t xml:space="preserve">On July 16, 2026, Jasper Therapeutics, Inc. (the “Company” or “Jasper”) filed a Current Report on Form 8-K (the “Original Form 8-K”) reporting that, on the same date, the Company completed its acquisition (the “Merger”) of Kira Pharmaceuticals (“Kira”), a Cayman Islands exempted company, pursuant to the terms of the Agreement and Plan of Merger, dated July 16, 2026 (the “Merger Agreement”), by and among the Company, Kira Holdco Inc., a Delaware corporation and a wholly owned subsidiary of the Company (“Merger Sub”), and Kira. Pursuant to the Merger Agreement, Kira merged with and into Merger Sub, with Merger Sub continuing as the surviving corporation and a wholly owned subsidiary of the Company. </w:t>
        <w:br/>
        <w:br/>
        <w:t>This Current Report on Form 8-K/A amends Item 9.01 of the Original Form 8-K to include the financial statements and unaudited pro forma financial information required by Items 9.01(a) and (b) of Form 8-K, which were not included in the Original Form 8-K pursuant to Items 9.01(a)(3) and (b)(2) of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29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4415" w:type="dxa"/>
            <w:tcBorders/>
            <w:vAlign w:val="center"/>
          </w:tcPr>
          <w:p>
            <w:pPr>
              <w:pStyle w:val="TableContents"/>
              <w:bidi w:val="0"/>
              <w:spacing w:before="0" w:after="283"/>
              <w:jc w:val="both"/>
              <w:rPr>
                <w:b/>
              </w:rPr>
            </w:pPr>
            <w:r>
              <w:rPr>
                <w:b/>
              </w:rPr>
              <w:t>Financial Statements of Business Acquired.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and accompanying notes of Kira Pharmaceuticals as of and for the fiscal years ended December 31, 2025 and 2024 are filed as Exhibit 99.1 to this Current Report on Form 8-K/A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statements and accompanying notes of Kira Pharmaceuticals as of and for the six months ended June 30, 2026 and 2025 are filed as Exhibit 99.2 to this Current Report on Form 8-K/A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305"/>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(b)</w:t>
            </w:r>
          </w:p>
        </w:tc>
        <w:tc>
          <w:tcPr>
            <w:tcW w:w="3515" w:type="dxa"/>
            <w:tcBorders/>
            <w:vAlign w:val="center"/>
          </w:tcPr>
          <w:p>
            <w:pPr>
              <w:pStyle w:val="TableContents"/>
              <w:bidi w:val="0"/>
              <w:spacing w:before="0" w:after="283"/>
              <w:jc w:val="both"/>
              <w:rPr>
                <w:b/>
              </w:rPr>
            </w:pPr>
            <w:r>
              <w:rPr>
                <w:b/>
              </w:rPr>
              <w:t>Pro Forma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the unaudited pro forma condensed combined statement of operations for the six months ended June 30, 2026, the unaudited pro forma condensed combined statement of operations for the year ended December 31, 2025, and the related notes of Jasper Therapeutics, Inc. with respect to the Merger, the concurrent private placement of non-voting convertible preferred stock (the “Financing”), the distribution of contingent value rights and the Mirador License Agreement (as defined in Exhibit 99.3), are filed as Exhibit 99.3 to this Current Report on Form 8-K/A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38"/>
        <w:gridCol w:w="30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(d)</w:t>
            </w:r>
          </w:p>
        </w:tc>
        <w:tc>
          <w:tcPr>
            <w:tcW w:w="935" w:type="dxa"/>
            <w:tcBorders/>
            <w:vAlign w:val="center"/>
          </w:tcPr>
          <w:p>
            <w:pPr>
              <w:pStyle w:val="TableContents"/>
              <w:bidi w:val="0"/>
              <w:spacing w:before="0" w:after="283"/>
              <w:jc w:val="both"/>
              <w:rPr>
                <w:b/>
              </w:rPr>
            </w:pPr>
            <w:r>
              <w:rPr>
                <w:b/>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2"/>
        <w:gridCol w:w="60"/>
        <w:gridCol w:w="9333"/>
      </w:tblGrid>
      <w:tr>
        <w:trPr/>
        <w:tc>
          <w:tcPr>
            <w:tcW w:w="812"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33"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812" w:type="dxa"/>
            <w:tcBorders/>
            <w:shd w:fill="CCEEFF" w:val="clear"/>
            <w:tcMar>
              <w:bottom w:w="0" w:type="dxa"/>
            </w:tcMar>
            <w:vAlign w:val="center"/>
          </w:tcPr>
          <w:p>
            <w:pPr>
              <w:pStyle w:val="TableContents"/>
              <w:bidi w:val="0"/>
              <w:spacing w:before="0" w:after="283"/>
              <w:jc w:val="left"/>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3" w:type="dxa"/>
            <w:tcBorders/>
            <w:shd w:fill="CCEEFF" w:val="clear"/>
            <w:tcMar>
              <w:bottom w:w="0" w:type="dxa"/>
            </w:tcMar>
            <w:vAlign w:val="center"/>
          </w:tcPr>
          <w:p>
            <w:pPr>
              <w:pStyle w:val="TableContents"/>
              <w:bidi w:val="0"/>
              <w:spacing w:before="0" w:after="283"/>
              <w:jc w:val="left"/>
              <w:rPr/>
            </w:pPr>
            <w:hyperlink w:anchor="ea030686001ex23-1.htm">
              <w:r>
                <w:rPr>
                  <w:rStyle w:val="InternetLink"/>
                </w:rPr>
                <w:t>Consent of EisnerAmper LLP, independent auditors of Kira Pharmaceuticals.  </w:t>
              </w:r>
            </w:hyperlink>
          </w:p>
        </w:tc>
      </w:tr>
      <w:tr>
        <w:trPr/>
        <w:tc>
          <w:tcPr>
            <w:tcW w:w="812" w:type="dxa"/>
            <w:tcBorders/>
            <w:shd w:fill="FFFFFF" w:val="clear"/>
            <w:tcMar>
              <w:bottom w:w="0" w:type="dxa"/>
            </w:tcMar>
            <w:vAlign w:val="center"/>
          </w:tcPr>
          <w:p>
            <w:pPr>
              <w:pStyle w:val="TableContents"/>
              <w:bidi w:val="0"/>
              <w:spacing w:before="0" w:after="283"/>
              <w:jc w:val="left"/>
              <w:rPr/>
            </w:pPr>
            <w:r>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3" w:type="dxa"/>
            <w:tcBorders/>
            <w:shd w:fill="FFFFFF" w:val="clear"/>
            <w:tcMar>
              <w:bottom w:w="0" w:type="dxa"/>
            </w:tcMar>
            <w:vAlign w:val="center"/>
          </w:tcPr>
          <w:p>
            <w:pPr>
              <w:pStyle w:val="TableContents"/>
              <w:bidi w:val="0"/>
              <w:spacing w:before="0" w:after="283"/>
              <w:jc w:val="both"/>
              <w:rPr/>
            </w:pPr>
            <w:hyperlink w:anchor="ea030686001ex99-1.htm">
              <w:r>
                <w:rPr>
                  <w:rStyle w:val="InternetLink"/>
                </w:rPr>
                <w:t>Audited financial statements of Kira Pharmaceuticals as of December 31, 2025 and 2024 and for the years then ended.</w:t>
              </w:r>
            </w:hyperlink>
          </w:p>
        </w:tc>
      </w:tr>
      <w:tr>
        <w:trPr/>
        <w:tc>
          <w:tcPr>
            <w:tcW w:w="812" w:type="dxa"/>
            <w:tcBorders/>
            <w:shd w:fill="CCEEFF" w:val="clear"/>
            <w:tcMar>
              <w:bottom w:w="0" w:type="dxa"/>
            </w:tcMar>
            <w:vAlign w:val="center"/>
          </w:tcPr>
          <w:p>
            <w:pPr>
              <w:pStyle w:val="TableContents"/>
              <w:bidi w:val="0"/>
              <w:spacing w:before="0" w:after="283"/>
              <w:jc w:val="left"/>
              <w:rPr/>
            </w:pPr>
            <w:r>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3" w:type="dxa"/>
            <w:tcBorders/>
            <w:shd w:fill="CCEEFF" w:val="clear"/>
            <w:tcMar>
              <w:bottom w:w="0" w:type="dxa"/>
            </w:tcMar>
            <w:vAlign w:val="center"/>
          </w:tcPr>
          <w:p>
            <w:pPr>
              <w:pStyle w:val="TableContents"/>
              <w:bidi w:val="0"/>
              <w:spacing w:before="0" w:after="283"/>
              <w:jc w:val="both"/>
              <w:rPr/>
            </w:pPr>
            <w:hyperlink w:anchor="ea030686001ex99-2.htm">
              <w:r>
                <w:rPr>
                  <w:rStyle w:val="InternetLink"/>
                  <w:color w:val="0000FF"/>
                </w:rPr>
                <w:t>Unaudited financial statements of Kira Pharmaceuticals as of June 30, 2026 and for the six months ended June 30, 2026 and 2025.</w:t>
              </w:r>
            </w:hyperlink>
          </w:p>
        </w:tc>
      </w:tr>
      <w:tr>
        <w:trPr/>
        <w:tc>
          <w:tcPr>
            <w:tcW w:w="812" w:type="dxa"/>
            <w:tcBorders/>
            <w:shd w:fill="FFFFFF" w:val="clear"/>
            <w:tcMar>
              <w:bottom w:w="0" w:type="dxa"/>
            </w:tcMar>
            <w:vAlign w:val="center"/>
          </w:tcPr>
          <w:p>
            <w:pPr>
              <w:pStyle w:val="TableContents"/>
              <w:bidi w:val="0"/>
              <w:spacing w:before="0" w:after="283"/>
              <w:jc w:val="left"/>
              <w:rPr/>
            </w:pPr>
            <w:r>
              <w:rPr/>
              <w:t>99.3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3" w:type="dxa"/>
            <w:tcBorders/>
            <w:shd w:fill="FFFFFF" w:val="clear"/>
            <w:tcMar>
              <w:bottom w:w="0" w:type="dxa"/>
            </w:tcMar>
            <w:vAlign w:val="center"/>
          </w:tcPr>
          <w:p>
            <w:pPr>
              <w:pStyle w:val="TableContents"/>
              <w:bidi w:val="0"/>
              <w:spacing w:before="0" w:after="283"/>
              <w:jc w:val="both"/>
              <w:rPr/>
            </w:pPr>
            <w:hyperlink w:anchor="ea030686001ex99-3.htm">
              <w:r>
                <w:rPr>
                  <w:rStyle w:val="InternetLink"/>
                </w:rPr>
                <w:t>Unaudited pro forma condensed combined financial information of Jasper Therapeutics, Inc. as of June 30, 2026, for the six months ended June 30, 2026, and for the year ended December 31, 2025.</w:t>
              </w:r>
            </w:hyperlink>
          </w:p>
        </w:tc>
      </w:tr>
      <w:tr>
        <w:trPr/>
        <w:tc>
          <w:tcPr>
            <w:tcW w:w="812"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3" w:type="dxa"/>
            <w:tcBorders/>
            <w:shd w:fill="CCEEFF" w:val="clear"/>
            <w:tcMar>
              <w:bottom w:w="0" w:type="dxa"/>
            </w:tcMar>
            <w:vAlign w:val="center"/>
          </w:tcPr>
          <w:p>
            <w:pPr>
              <w:pStyle w:val="TableContents"/>
              <w:bidi w:val="0"/>
              <w:spacing w:before="0" w:after="283"/>
              <w:jc w:val="left"/>
              <w:rPr/>
            </w:pPr>
            <w:r>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 2026</w:t>
      </w:r>
    </w:p>
    <w:p>
      <w:pPr>
        <w:pStyle w:val="TextBody"/>
        <w:bidi w:val="0"/>
        <w:spacing w:before="0" w:after="0"/>
        <w:ind w:left="0" w:right="0" w:hanging="0"/>
        <w:jc w:val="left"/>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7"/>
        <w:gridCol w:w="723"/>
        <w:gridCol w:w="2253"/>
        <w:gridCol w:w="75"/>
      </w:tblGrid>
      <w:tr>
        <w:trPr/>
        <w:tc>
          <w:tcPr>
            <w:tcW w:w="3363" w:type="dxa"/>
            <w:gridSpan w:val="3"/>
            <w:tcBorders/>
            <w:vAlign w:val="center"/>
          </w:tcPr>
          <w:p>
            <w:pPr>
              <w:pStyle w:val="TableContents"/>
              <w:bidi w:val="0"/>
              <w:spacing w:before="0" w:after="283"/>
              <w:jc w:val="left"/>
              <w:rPr/>
            </w:pPr>
            <w:r>
              <w:rPr/>
              <w:t>JASPER THERAPEUTICS, INC.</w:t>
            </w:r>
          </w:p>
        </w:tc>
        <w:tc>
          <w:tcPr>
            <w:tcW w:w="75" w:type="dxa"/>
            <w:tcBorders/>
            <w:vAlign w:val="center"/>
          </w:tcPr>
          <w:p>
            <w:pPr>
              <w:pStyle w:val="TableContents"/>
              <w:bidi w:val="0"/>
              <w:spacing w:before="0" w:after="283"/>
              <w:jc w:val="left"/>
              <w:rPr/>
            </w:pPr>
            <w:r>
              <w:rPr/>
              <w:t> </w:t>
            </w:r>
          </w:p>
        </w:tc>
      </w:tr>
      <w:tr>
        <w:trPr/>
        <w:tc>
          <w:tcPr>
            <w:tcW w:w="38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2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7" w:type="dxa"/>
            <w:tcBorders/>
            <w:vAlign w:val="center"/>
          </w:tcPr>
          <w:p>
            <w:pPr>
              <w:pStyle w:val="TableContents"/>
              <w:bidi w:val="0"/>
              <w:spacing w:before="0" w:after="283"/>
              <w:jc w:val="left"/>
              <w:rPr/>
            </w:pPr>
            <w:r>
              <w:rPr/>
              <w:t>By:</w:t>
            </w:r>
          </w:p>
        </w:tc>
        <w:tc>
          <w:tcPr>
            <w:tcW w:w="2976" w:type="dxa"/>
            <w:gridSpan w:val="2"/>
            <w:tcBorders>
              <w:bottom w:val="single" w:sz="12" w:space="0" w:color="000000"/>
            </w:tcBorders>
            <w:tcMar>
              <w:bottom w:w="28" w:type="dxa"/>
            </w:tcMar>
            <w:vAlign w:val="center"/>
          </w:tcPr>
          <w:p>
            <w:pPr>
              <w:pStyle w:val="TableContents"/>
              <w:bidi w:val="0"/>
              <w:spacing w:before="0" w:after="283"/>
              <w:jc w:val="left"/>
              <w:rPr/>
            </w:pPr>
            <w:r>
              <w:rPr/>
              <w:t>/s/ Herb Cross</w:t>
            </w:r>
          </w:p>
        </w:tc>
        <w:tc>
          <w:tcPr>
            <w:tcW w:w="75" w:type="dxa"/>
            <w:tcBorders/>
            <w:vAlign w:val="center"/>
          </w:tcPr>
          <w:p>
            <w:pPr>
              <w:pStyle w:val="TableContents"/>
              <w:bidi w:val="0"/>
              <w:spacing w:before="0" w:after="283"/>
              <w:jc w:val="left"/>
              <w:rPr/>
            </w:pPr>
            <w:r>
              <w:rPr/>
              <w:t> </w:t>
            </w:r>
          </w:p>
        </w:tc>
      </w:tr>
      <w:tr>
        <w:trPr/>
        <w:tc>
          <w:tcPr>
            <w:tcW w:w="38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Name: </w:t>
            </w:r>
          </w:p>
        </w:tc>
        <w:tc>
          <w:tcPr>
            <w:tcW w:w="2253" w:type="dxa"/>
            <w:tcBorders/>
            <w:vAlign w:val="center"/>
          </w:tcPr>
          <w:p>
            <w:pPr>
              <w:pStyle w:val="TableContents"/>
              <w:bidi w:val="0"/>
              <w:spacing w:before="0" w:after="283"/>
              <w:jc w:val="left"/>
              <w:rPr/>
            </w:pPr>
            <w:r>
              <w:rPr/>
              <w:t>Herb Cross</w:t>
            </w:r>
          </w:p>
        </w:tc>
        <w:tc>
          <w:tcPr>
            <w:tcW w:w="75" w:type="dxa"/>
            <w:tcBorders/>
            <w:vAlign w:val="center"/>
          </w:tcPr>
          <w:p>
            <w:pPr>
              <w:pStyle w:val="TableContents"/>
              <w:bidi w:val="0"/>
              <w:spacing w:before="0" w:after="283"/>
              <w:jc w:val="left"/>
              <w:rPr/>
            </w:pPr>
            <w:r>
              <w:rPr/>
              <w:t> </w:t>
            </w:r>
          </w:p>
        </w:tc>
      </w:tr>
      <w:tr>
        <w:trPr/>
        <w:tc>
          <w:tcPr>
            <w:tcW w:w="38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Title:</w:t>
            </w:r>
          </w:p>
        </w:tc>
        <w:tc>
          <w:tcPr>
            <w:tcW w:w="2253"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3" w:name="ea030686001ex23-1.htm"/>
      <w:bookmarkStart w:id="24" w:name="ksea030686001ex231"/>
      <w:bookmarkEnd w:id="23"/>
      <w:bookmarkEnd w:id="24"/>
      <w:r>
        <w:rPr>
          <w:rFonts w:ascii="Times New Roman;Times;Serif" w:hAnsi="Times New Roman;Times;Serif"/>
          <w:b/>
          <w:i w:val="false"/>
          <w:caps w:val="false"/>
          <w:smallCaps w:val="false"/>
          <w:sz w:val="20"/>
        </w:rPr>
        <w:t>Exhibit 23.1</w:t>
      </w:r>
      <w:r>
        <w:br w:type="page"/>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ACCOUNTANT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consent to the incorporation by reference in the Registration Statements of Jasper Therapeutics, Inc. on Form S-3 (No. 333-285914) and Form S-8 (Nos. 333-277674, 333-280039, 333-263702, 333-270361, 333-263773 and 333-273941) of our report dated October 1, 2026, on our audits of the financial statements of Kira Pharmaceuticals as of December 31, 2025 and 2024 and for each of the years then ended, which report is included in this Form 8-K/A to be filed on or about October 1, 2026. Our report includes an explanatory paragraph about the existence of substantial doubt concerning Kira Pharmaceuticals’ ability to continue as a going concern.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EisnerAmper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EISNERAMPER LLP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418" w:right="0" w:hanging="0"/>
        <w:jc w:val="right"/>
        <w:rPr>
          <w:rFonts w:ascii="Times New Roman;Times;Serif" w:hAnsi="Times New Roman;Times;Serif"/>
          <w:b/>
          <w:i w:val="false"/>
          <w:caps w:val="false"/>
          <w:smallCaps w:val="false"/>
          <w:sz w:val="20"/>
        </w:rPr>
      </w:pPr>
      <w:bookmarkStart w:id="25" w:name="ea030686001ex99-1.htm"/>
      <w:bookmarkStart w:id="26" w:name="ksea030686001ex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ind w:left="41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KIRA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1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9020"/>
        <w:gridCol w:w="365"/>
      </w:tblGrid>
      <w:tr>
        <w:trPr/>
        <w:tc>
          <w:tcPr>
            <w:tcW w:w="9020" w:type="dxa"/>
            <w:tcBorders/>
            <w:shd w:fill="CCEEFF" w:val="clear"/>
            <w:vAlign w:val="center"/>
          </w:tcPr>
          <w:p>
            <w:pPr>
              <w:pStyle w:val="TableContents"/>
              <w:bidi w:val="0"/>
              <w:spacing w:before="0" w:after="283"/>
              <w:jc w:val="left"/>
              <w:rPr/>
            </w:pPr>
            <w:hyperlink w:anchor="f_001">
              <w:r>
                <w:rPr>
                  <w:rStyle w:val="InternetLink"/>
                </w:rPr>
                <w:t>Independent Auditors’ Report</w:t>
              </w:r>
            </w:hyperlink>
          </w:p>
        </w:tc>
        <w:tc>
          <w:tcPr>
            <w:tcW w:w="365" w:type="dxa"/>
            <w:tcBorders/>
            <w:shd w:fill="CCEEFF" w:val="clear"/>
            <w:vAlign w:val="center"/>
          </w:tcPr>
          <w:p>
            <w:pPr>
              <w:pStyle w:val="TableContents"/>
              <w:bidi w:val="0"/>
              <w:spacing w:before="0" w:after="283"/>
              <w:jc w:val="center"/>
              <w:rPr/>
            </w:pPr>
            <w:r>
              <w:rPr/>
              <w:t>F-2</w:t>
            </w:r>
          </w:p>
        </w:tc>
      </w:tr>
      <w:tr>
        <w:trPr/>
        <w:tc>
          <w:tcPr>
            <w:tcW w:w="9020" w:type="dxa"/>
            <w:tcBorders/>
            <w:shd w:fill="FFFFFF" w:val="clear"/>
            <w:vAlign w:val="center"/>
          </w:tcPr>
          <w:p>
            <w:pPr>
              <w:pStyle w:val="TableContents"/>
              <w:bidi w:val="0"/>
              <w:spacing w:before="0" w:after="283"/>
              <w:jc w:val="left"/>
              <w:rPr/>
            </w:pPr>
            <w:hyperlink w:anchor="f_002">
              <w:r>
                <w:rPr>
                  <w:rStyle w:val="InternetLink"/>
                </w:rPr>
                <w:t>Consolidated Balance Sheets</w:t>
              </w:r>
            </w:hyperlink>
          </w:p>
        </w:tc>
        <w:tc>
          <w:tcPr>
            <w:tcW w:w="365" w:type="dxa"/>
            <w:tcBorders/>
            <w:shd w:fill="FFFFFF" w:val="clear"/>
            <w:vAlign w:val="center"/>
          </w:tcPr>
          <w:p>
            <w:pPr>
              <w:pStyle w:val="TableContents"/>
              <w:bidi w:val="0"/>
              <w:spacing w:before="0" w:after="283"/>
              <w:jc w:val="center"/>
              <w:rPr/>
            </w:pPr>
            <w:r>
              <w:rPr/>
              <w:t>F-4</w:t>
            </w:r>
          </w:p>
        </w:tc>
      </w:tr>
      <w:tr>
        <w:trPr/>
        <w:tc>
          <w:tcPr>
            <w:tcW w:w="9020" w:type="dxa"/>
            <w:tcBorders/>
            <w:shd w:fill="CCEEFF" w:val="clear"/>
            <w:vAlign w:val="center"/>
          </w:tcPr>
          <w:p>
            <w:pPr>
              <w:pStyle w:val="TableContents"/>
              <w:bidi w:val="0"/>
              <w:spacing w:before="0" w:after="283"/>
              <w:jc w:val="left"/>
              <w:rPr/>
            </w:pPr>
            <w:hyperlink w:anchor="f_003">
              <w:r>
                <w:rPr>
                  <w:rStyle w:val="InternetLink"/>
                </w:rPr>
                <w:t>Consolidated Statements of Operations and Comprehensive Loss</w:t>
              </w:r>
            </w:hyperlink>
          </w:p>
        </w:tc>
        <w:tc>
          <w:tcPr>
            <w:tcW w:w="365" w:type="dxa"/>
            <w:tcBorders/>
            <w:shd w:fill="CCEEFF" w:val="clear"/>
            <w:vAlign w:val="center"/>
          </w:tcPr>
          <w:p>
            <w:pPr>
              <w:pStyle w:val="TableContents"/>
              <w:bidi w:val="0"/>
              <w:spacing w:before="0" w:after="283"/>
              <w:jc w:val="center"/>
              <w:rPr/>
            </w:pPr>
            <w:r>
              <w:rPr/>
              <w:t>F-5</w:t>
            </w:r>
          </w:p>
        </w:tc>
      </w:tr>
      <w:tr>
        <w:trPr/>
        <w:tc>
          <w:tcPr>
            <w:tcW w:w="9020" w:type="dxa"/>
            <w:tcBorders/>
            <w:shd w:fill="FFFFFF" w:val="clear"/>
            <w:vAlign w:val="center"/>
          </w:tcPr>
          <w:p>
            <w:pPr>
              <w:pStyle w:val="TableContents"/>
              <w:bidi w:val="0"/>
              <w:spacing w:before="0" w:after="283"/>
              <w:jc w:val="left"/>
              <w:rPr/>
            </w:pPr>
            <w:hyperlink w:anchor="f_004">
              <w:r>
                <w:rPr>
                  <w:rStyle w:val="InternetLink"/>
                </w:rPr>
                <w:t>Consolidated Statements of Redeemable Convertible Preferred Stock and Stockholders’ Deficit</w:t>
              </w:r>
            </w:hyperlink>
          </w:p>
        </w:tc>
        <w:tc>
          <w:tcPr>
            <w:tcW w:w="365" w:type="dxa"/>
            <w:tcBorders/>
            <w:shd w:fill="FFFFFF" w:val="clear"/>
            <w:vAlign w:val="center"/>
          </w:tcPr>
          <w:p>
            <w:pPr>
              <w:pStyle w:val="TableContents"/>
              <w:bidi w:val="0"/>
              <w:spacing w:before="0" w:after="283"/>
              <w:jc w:val="center"/>
              <w:rPr/>
            </w:pPr>
            <w:r>
              <w:rPr/>
              <w:t>F-6</w:t>
            </w:r>
          </w:p>
        </w:tc>
      </w:tr>
      <w:tr>
        <w:trPr/>
        <w:tc>
          <w:tcPr>
            <w:tcW w:w="9020" w:type="dxa"/>
            <w:tcBorders/>
            <w:shd w:fill="CCEEFF" w:val="clear"/>
            <w:vAlign w:val="center"/>
          </w:tcPr>
          <w:p>
            <w:pPr>
              <w:pStyle w:val="TableContents"/>
              <w:bidi w:val="0"/>
              <w:spacing w:before="0" w:after="283"/>
              <w:jc w:val="left"/>
              <w:rPr/>
            </w:pPr>
            <w:hyperlink w:anchor="f_005">
              <w:r>
                <w:rPr>
                  <w:rStyle w:val="InternetLink"/>
                </w:rPr>
                <w:t>Consolidated Statements of Cash Flows</w:t>
              </w:r>
            </w:hyperlink>
          </w:p>
        </w:tc>
        <w:tc>
          <w:tcPr>
            <w:tcW w:w="365" w:type="dxa"/>
            <w:tcBorders/>
            <w:shd w:fill="CCEEFF" w:val="clear"/>
            <w:vAlign w:val="center"/>
          </w:tcPr>
          <w:p>
            <w:pPr>
              <w:pStyle w:val="TableContents"/>
              <w:bidi w:val="0"/>
              <w:spacing w:before="0" w:after="283"/>
              <w:jc w:val="center"/>
              <w:rPr/>
            </w:pPr>
            <w:r>
              <w:rPr/>
              <w:t>F-7</w:t>
            </w:r>
          </w:p>
        </w:tc>
      </w:tr>
      <w:tr>
        <w:trPr/>
        <w:tc>
          <w:tcPr>
            <w:tcW w:w="9020" w:type="dxa"/>
            <w:tcBorders/>
            <w:shd w:fill="FFFFFF" w:val="clear"/>
            <w:vAlign w:val="center"/>
          </w:tcPr>
          <w:p>
            <w:pPr>
              <w:pStyle w:val="TableContents"/>
              <w:bidi w:val="0"/>
              <w:spacing w:before="0" w:after="283"/>
              <w:jc w:val="left"/>
              <w:rPr/>
            </w:pPr>
            <w:hyperlink w:anchor="f_006">
              <w:r>
                <w:rPr>
                  <w:rStyle w:val="InternetLink"/>
                </w:rPr>
                <w:t>Notes to Consolidated Financial Statements</w:t>
              </w:r>
            </w:hyperlink>
          </w:p>
        </w:tc>
        <w:tc>
          <w:tcPr>
            <w:tcW w:w="365" w:type="dxa"/>
            <w:tcBorders/>
            <w:shd w:fill="FFFFFF" w:val="clear"/>
            <w:vAlign w:val="center"/>
          </w:tcPr>
          <w:p>
            <w:pPr>
              <w:pStyle w:val="TableContents"/>
              <w:bidi w:val="0"/>
              <w:spacing w:before="0" w:after="283"/>
              <w:jc w:val="center"/>
              <w:rPr/>
            </w:pPr>
            <w:r>
              <w:rPr/>
              <w:t>F-8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f_001"/>
      <w:bookmarkEnd w:id="27"/>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Kira Pharmaceuticals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on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Kira Pharmaceuticals (the “Company”), which comprise the consolidated balance sheets as of December 31, 2025 and 2024, and the related consolidated statements of operations and comprehensive loss, redeemable convertible preferred stock and stockholders’ deficit, and cash flows for each of the years then ended,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consolidated financial position of Kira Pharmaceuticals and Subsidiaries as of December 31, 2025 and 2024, and the consolidated results of their operations and their cash flows for each of the years then ended in accordance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Doubt about the Entity’s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consolidated financial statements, the Company has incurred losses since inception and has an accumulated deficit and negative operating cash flows from operations. Thesefactors have raised substantial doubt about the Company’s ability to continue as a going concern, and management’s evaluation of the conditions and plans regarding these matters are also described in Note 1.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these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pPr>
            <w:r>
              <w:rPr/>
              <w:t>Exercise professional judgment and maintain professional skepticism throughout the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tbl>
      <w:tblPr>
        <w:tblW w:w="2300" w:type="dxa"/>
        <w:jc w:val="left"/>
        <w:tblInd w:w="0" w:type="dxa"/>
        <w:tblLayout w:type="fixed"/>
        <w:tblCellMar>
          <w:top w:w="0" w:type="dxa"/>
          <w:left w:w="0" w:type="dxa"/>
          <w:bottom w:w="28" w:type="dxa"/>
          <w:right w:w="0" w:type="dxa"/>
        </w:tblCellMar>
      </w:tblPr>
      <w:tblGrid>
        <w:gridCol w:w="2225"/>
        <w:gridCol w:w="75"/>
      </w:tblGrid>
      <w:tr>
        <w:trPr/>
        <w:tc>
          <w:tcPr>
            <w:tcW w:w="2225" w:type="dxa"/>
            <w:tcBorders>
              <w:bottom w:val="single" w:sz="12" w:space="0" w:color="000000"/>
            </w:tcBorders>
            <w:vAlign w:val="center"/>
          </w:tcPr>
          <w:p>
            <w:pPr>
              <w:pStyle w:val="TableContents"/>
              <w:bidi w:val="0"/>
              <w:spacing w:before="0" w:after="283"/>
              <w:jc w:val="left"/>
              <w:rPr/>
            </w:pPr>
            <w:r>
              <w:rPr/>
              <w:t>/s/ EisnerAmper LLP</w:t>
            </w:r>
          </w:p>
        </w:tc>
        <w:tc>
          <w:tcPr>
            <w:tcW w:w="75" w:type="dxa"/>
            <w:tcBorders/>
            <w:tcMar>
              <w:bottom w:w="0" w:type="dxa"/>
            </w:tcMar>
            <w:vAlign w:val="center"/>
          </w:tcPr>
          <w:p>
            <w:pPr>
              <w:pStyle w:val="TableContents"/>
              <w:bidi w:val="0"/>
              <w:spacing w:before="0" w:after="283"/>
              <w:jc w:val="left"/>
              <w:rPr/>
            </w:pPr>
            <w:r>
              <w:rPr/>
              <w:t> </w:t>
            </w:r>
          </w:p>
        </w:tc>
      </w:tr>
      <w:tr>
        <w:trPr/>
        <w:tc>
          <w:tcPr>
            <w:tcW w:w="2225" w:type="dxa"/>
            <w:tcBorders/>
            <w:tcMar>
              <w:bottom w:w="0" w:type="dxa"/>
            </w:tcMar>
            <w:vAlign w:val="center"/>
          </w:tcPr>
          <w:p>
            <w:pPr>
              <w:pStyle w:val="TableContents"/>
              <w:bidi w:val="0"/>
              <w:spacing w:before="0" w:after="283"/>
              <w:jc w:val="left"/>
              <w:rPr/>
            </w:pPr>
            <w:r>
              <w:rPr/>
              <w:t>EISNERAMPER LLP</w:t>
            </w:r>
          </w:p>
        </w:tc>
        <w:tc>
          <w:tcPr>
            <w:tcW w:w="75" w:type="dxa"/>
            <w:tcBorders/>
            <w:tcMar>
              <w:bottom w:w="0" w:type="dxa"/>
            </w:tcMar>
            <w:vAlign w:val="center"/>
          </w:tcPr>
          <w:p>
            <w:pPr>
              <w:pStyle w:val="TableContents"/>
              <w:bidi w:val="0"/>
              <w:spacing w:before="0" w:after="283"/>
              <w:jc w:val="left"/>
              <w:rPr/>
            </w:pPr>
            <w:r>
              <w:rPr/>
              <w:t> </w:t>
            </w:r>
          </w:p>
        </w:tc>
      </w:tr>
      <w:tr>
        <w:trPr/>
        <w:tc>
          <w:tcPr>
            <w:tcW w:w="2225" w:type="dxa"/>
            <w:tcBorders/>
            <w:tcMar>
              <w:bottom w:w="0" w:type="dxa"/>
            </w:tcMar>
            <w:vAlign w:val="center"/>
          </w:tcPr>
          <w:p>
            <w:pPr>
              <w:pStyle w:val="TableContents"/>
              <w:bidi w:val="0"/>
              <w:spacing w:before="0" w:after="283"/>
              <w:jc w:val="left"/>
              <w:rPr/>
            </w:pPr>
            <w:r>
              <w:rPr/>
              <w:t>Iselin, New Jersey</w:t>
            </w:r>
          </w:p>
        </w:tc>
        <w:tc>
          <w:tcPr>
            <w:tcW w:w="75" w:type="dxa"/>
            <w:tcBorders/>
            <w:tcMar>
              <w:bottom w:w="0" w:type="dxa"/>
            </w:tcMar>
            <w:vAlign w:val="center"/>
          </w:tcPr>
          <w:p>
            <w:pPr>
              <w:pStyle w:val="TableContents"/>
              <w:bidi w:val="0"/>
              <w:spacing w:before="0" w:after="283"/>
              <w:jc w:val="left"/>
              <w:rPr/>
            </w:pPr>
            <w:r>
              <w:rPr/>
              <w:t> </w:t>
            </w:r>
          </w:p>
        </w:tc>
      </w:tr>
      <w:tr>
        <w:trPr/>
        <w:tc>
          <w:tcPr>
            <w:tcW w:w="2225" w:type="dxa"/>
            <w:tcBorders/>
            <w:tcMar>
              <w:bottom w:w="0" w:type="dxa"/>
            </w:tcMar>
            <w:vAlign w:val="center"/>
          </w:tcPr>
          <w:p>
            <w:pPr>
              <w:pStyle w:val="TableContents"/>
              <w:bidi w:val="0"/>
              <w:spacing w:before="0" w:after="283"/>
              <w:jc w:val="left"/>
              <w:rPr/>
            </w:pPr>
            <w:r>
              <w:rPr/>
              <w:t>October 1,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f_002"/>
      <w:bookmarkEnd w:id="28"/>
      <w:r>
        <w:rPr>
          <w:rFonts w:ascii="Times New Roman;Times;Serif" w:hAnsi="Times New Roman;Times;Serif"/>
          <w:b/>
          <w:i w:val="false"/>
          <w:caps w:val="false"/>
          <w:smallCaps w:val="false"/>
          <w:sz w:val="20"/>
        </w:rPr>
        <w:t>KIRA PHARMACEUTICALS CONSOLIDATED BALANCE SHEETS</w:t>
      </w:r>
    </w:p>
    <w:p>
      <w:pPr>
        <w:pStyle w:val="TextBody"/>
        <w:bidi w:val="0"/>
        <w:spacing w:before="0" w:after="0"/>
        <w:ind w:left="41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0"/>
        <w:gridCol w:w="60"/>
        <w:gridCol w:w="140"/>
        <w:gridCol w:w="875"/>
        <w:gridCol w:w="95"/>
        <w:gridCol w:w="60"/>
        <w:gridCol w:w="140"/>
        <w:gridCol w:w="875"/>
        <w:gridCol w:w="110"/>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898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412</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767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1,310</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444</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1,834</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b/>
              </w:rPr>
            </w:pPr>
            <w:r>
              <w:rPr>
                <w:b/>
              </w:rPr>
              <w:t>Liabilities, Redeemable Convertible Preferred Stock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Trade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6,483</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1,702</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Promissory note payable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Lease liabilities -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7,663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8,211</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973</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8,866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9,224</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pPr>
            <w:r>
              <w:rPr/>
              <w:t>Contingently redeemable convertible preferred stock, $0.01 par value; 0 and 722,097 shares authorized, issued and outstanding as of December 31, 2025 and 2024; aggregate liquidation preference of $161,518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161,518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pPr>
            <w:r>
              <w:rPr/>
              <w:t>Common stock, $0.01 par value; 17,500,000 and 4,277,903 shares authorized as of December 31, 2025 and 2024, respectively;  17,054,011 and 102,688 shares issued and outstanding as of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Additional paid-in-capital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172,670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(180,754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(169,496</w:t>
            </w:r>
          </w:p>
        </w:tc>
        <w:tc>
          <w:tcPr>
            <w:tcW w:w="110" w:type="dxa"/>
            <w:tcBorders/>
            <w:shd w:fill="CCEEFF" w:val="clear"/>
            <w:vAlign w:val="center"/>
          </w:tcPr>
          <w:p>
            <w:pPr>
              <w:pStyle w:val="TableContents"/>
              <w:bidi w:val="0"/>
              <w:spacing w:before="0" w:after="283"/>
              <w:jc w:val="left"/>
              <w:rPr/>
            </w:pPr>
            <w:r>
              <w:rPr/>
              <w:t>)</w:t>
            </w:r>
          </w:p>
        </w:tc>
      </w:tr>
      <w:tr>
        <w:trPr/>
        <w:tc>
          <w:tcPr>
            <w:tcW w:w="7850"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587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(7,743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(168,908</w:t>
            </w:r>
          </w:p>
        </w:tc>
        <w:tc>
          <w:tcPr>
            <w:tcW w:w="110" w:type="dxa"/>
            <w:tcBorders/>
            <w:shd w:fill="CCEEFF" w:val="clear"/>
            <w:vAlign w:val="center"/>
          </w:tcPr>
          <w:p>
            <w:pPr>
              <w:pStyle w:val="TableContents"/>
              <w:bidi w:val="0"/>
              <w:spacing w:before="0" w:after="283"/>
              <w:jc w:val="left"/>
              <w:rPr>
                <w:b/>
              </w:rPr>
            </w:pPr>
            <w:r>
              <w:rPr>
                <w:b/>
              </w:rPr>
              <w:t>)</w:t>
            </w:r>
          </w:p>
        </w:tc>
      </w:tr>
      <w:tr>
        <w:trPr/>
        <w:tc>
          <w:tcPr>
            <w:tcW w:w="7850" w:type="dxa"/>
            <w:tcBorders/>
            <w:shd w:fill="FFFFFF" w:val="clear"/>
            <w:vAlign w:val="center"/>
          </w:tcPr>
          <w:p>
            <w:pPr>
              <w:pStyle w:val="TableContents"/>
              <w:bidi w:val="0"/>
              <w:spacing w:before="0" w:after="283"/>
              <w:jc w:val="left"/>
              <w:rPr/>
            </w:pPr>
            <w:r>
              <w:rPr/>
              <w:t>Total liabilities, redeemable convertible preferred stock, and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1,834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18"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ind w:left="418" w:right="0" w:hanging="0"/>
        <w:jc w:val="center"/>
        <w:rPr>
          <w:rFonts w:ascii="Times New Roman;Times;Serif" w:hAnsi="Times New Roman;Times;Serif"/>
          <w:b/>
          <w:i w:val="false"/>
          <w:caps w:val="false"/>
          <w:smallCaps w:val="false"/>
          <w:sz w:val="20"/>
        </w:rPr>
      </w:pPr>
      <w:bookmarkStart w:id="29" w:name="f_003"/>
      <w:bookmarkEnd w:id="29"/>
      <w:r>
        <w:rPr>
          <w:rFonts w:ascii="Times New Roman;Times;Serif" w:hAnsi="Times New Roman;Times;Serif"/>
          <w:b/>
          <w:i w:val="false"/>
          <w:caps w:val="false"/>
          <w:smallCaps w:val="false"/>
          <w:sz w:val="20"/>
        </w:rPr>
        <w:t>KIRA PHARMACEUTICALS</w:t>
      </w:r>
    </w:p>
    <w:p>
      <w:pPr>
        <w:pStyle w:val="TextBody"/>
        <w:bidi w:val="0"/>
        <w:spacing w:before="0" w:after="0"/>
        <w:ind w:left="41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41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628" w:type="dxa"/>
        <w:jc w:val="left"/>
        <w:tblInd w:w="0" w:type="dxa"/>
        <w:tblLayout w:type="fixed"/>
        <w:tblCellMar>
          <w:top w:w="0" w:type="dxa"/>
          <w:left w:w="0" w:type="dxa"/>
          <w:bottom w:w="0" w:type="dxa"/>
          <w:right w:w="0" w:type="dxa"/>
        </w:tblCellMar>
      </w:tblPr>
      <w:tblGrid>
        <w:gridCol w:w="6740"/>
        <w:gridCol w:w="60"/>
        <w:gridCol w:w="223"/>
        <w:gridCol w:w="1013"/>
        <w:gridCol w:w="151"/>
        <w:gridCol w:w="95"/>
        <w:gridCol w:w="223"/>
        <w:gridCol w:w="1013"/>
        <w:gridCol w:w="110"/>
      </w:tblGrid>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center"/>
              <w:rPr/>
            </w:pPr>
            <w:r>
              <w:rPr/>
              <w:t> </w:t>
            </w:r>
          </w:p>
        </w:tc>
      </w:tr>
      <w:tr>
        <w:trPr/>
        <w:tc>
          <w:tcPr>
            <w:tcW w:w="6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909</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2,795</w:t>
            </w:r>
          </w:p>
        </w:tc>
        <w:tc>
          <w:tcPr>
            <w:tcW w:w="11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FFFFFF" w:val="clear"/>
            <w:tcMar>
              <w:bottom w:w="28" w:type="dxa"/>
            </w:tcMar>
            <w:vAlign w:val="center"/>
          </w:tcPr>
          <w:p>
            <w:pPr>
              <w:pStyle w:val="TableContents"/>
              <w:bidi w:val="0"/>
              <w:spacing w:before="0" w:after="283"/>
              <w:jc w:val="right"/>
              <w:rPr/>
            </w:pPr>
            <w:r>
              <w:rPr/>
              <w:t>1,501</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FFFFFF" w:val="clear"/>
            <w:tcMar>
              <w:bottom w:w="28" w:type="dxa"/>
            </w:tcMar>
            <w:vAlign w:val="center"/>
          </w:tcPr>
          <w:p>
            <w:pPr>
              <w:pStyle w:val="TableContents"/>
              <w:bidi w:val="0"/>
              <w:spacing w:before="0" w:after="283"/>
              <w:jc w:val="right"/>
              <w:rPr/>
            </w:pPr>
            <w:r>
              <w:rPr/>
              <w:t>1,670</w:t>
            </w:r>
          </w:p>
        </w:tc>
        <w:tc>
          <w:tcPr>
            <w:tcW w:w="11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center"/>
          </w:tcPr>
          <w:p>
            <w:pPr>
              <w:pStyle w:val="TableContents"/>
              <w:bidi w:val="0"/>
              <w:spacing w:before="0" w:after="283"/>
              <w:jc w:val="right"/>
              <w:rPr/>
            </w:pPr>
            <w:r>
              <w:rPr/>
              <w:t>2,410</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center"/>
          </w:tcPr>
          <w:p>
            <w:pPr>
              <w:pStyle w:val="TableContents"/>
              <w:bidi w:val="0"/>
              <w:spacing w:before="0" w:after="283"/>
              <w:jc w:val="right"/>
              <w:rPr/>
            </w:pPr>
            <w:r>
              <w:rPr/>
              <w:t>4,465</w:t>
            </w:r>
          </w:p>
        </w:tc>
        <w:tc>
          <w:tcPr>
            <w:tcW w:w="11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(2,410</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(4,465</w:t>
            </w:r>
          </w:p>
        </w:tc>
        <w:tc>
          <w:tcPr>
            <w:tcW w:w="110" w:type="dxa"/>
            <w:tcBorders/>
            <w:shd w:fill="FFFFFF" w:val="clear"/>
            <w:vAlign w:val="center"/>
          </w:tcPr>
          <w:p>
            <w:pPr>
              <w:pStyle w:val="TableContents"/>
              <w:bidi w:val="0"/>
              <w:spacing w:before="0" w:after="283"/>
              <w:jc w:val="left"/>
              <w:rPr/>
            </w:pPr>
            <w:r>
              <w:rPr/>
              <w:t>)</w:t>
            </w:r>
          </w:p>
        </w:tc>
      </w:tr>
      <w:tr>
        <w:trPr/>
        <w:tc>
          <w:tcPr>
            <w:tcW w:w="6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Gain on accounts payable settlement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2,027</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Loss from issuance and remeasurement of convertible note at fair value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(3,950</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center"/>
          </w:tcPr>
          <w:p>
            <w:pPr>
              <w:pStyle w:val="TableContents"/>
              <w:bidi w:val="0"/>
              <w:spacing w:before="0" w:after="283"/>
              <w:jc w:val="right"/>
              <w:rPr/>
            </w:pPr>
            <w:r>
              <w:rPr/>
              <w:t>220</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center"/>
          </w:tcPr>
          <w:p>
            <w:pPr>
              <w:pStyle w:val="TableContents"/>
              <w:bidi w:val="0"/>
              <w:spacing w:before="0" w:after="283"/>
              <w:jc w:val="right"/>
              <w:rPr/>
            </w:pPr>
            <w:r>
              <w:rPr/>
              <w:t>(237</w:t>
            </w:r>
          </w:p>
        </w:tc>
        <w:tc>
          <w:tcPr>
            <w:tcW w:w="110" w:type="dxa"/>
            <w:tcBorders/>
            <w:shd w:fill="CCEEFF" w:val="clear"/>
            <w:vAlign w:val="center"/>
          </w:tcPr>
          <w:p>
            <w:pPr>
              <w:pStyle w:val="TableContents"/>
              <w:bidi w:val="0"/>
              <w:spacing w:before="0" w:after="283"/>
              <w:jc w:val="left"/>
              <w:rPr/>
            </w:pPr>
            <w:r>
              <w:rPr/>
              <w:t>)</w:t>
            </w:r>
          </w:p>
        </w:tc>
      </w:tr>
      <w:tr>
        <w:trPr/>
        <w:tc>
          <w:tcPr>
            <w:tcW w:w="6740"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FFFFFF" w:val="clear"/>
            <w:tcMar>
              <w:bottom w:w="28" w:type="dxa"/>
            </w:tcMar>
            <w:vAlign w:val="center"/>
          </w:tcPr>
          <w:p>
            <w:pPr>
              <w:pStyle w:val="TableContents"/>
              <w:bidi w:val="0"/>
              <w:spacing w:before="0" w:after="283"/>
              <w:jc w:val="right"/>
              <w:rPr/>
            </w:pPr>
            <w:r>
              <w:rPr/>
              <w:t>(1,703</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110" w:type="dxa"/>
            <w:tcBorders/>
            <w:shd w:fill="FFFFFF" w:val="clear"/>
            <w:vAlign w:val="center"/>
          </w:tcPr>
          <w:p>
            <w:pPr>
              <w:pStyle w:val="TableContents"/>
              <w:bidi w:val="0"/>
              <w:spacing w:before="0" w:after="283"/>
              <w:jc w:val="left"/>
              <w:rPr/>
            </w:pPr>
            <w:r>
              <w:rPr/>
              <w:t>)</w:t>
            </w:r>
          </w:p>
        </w:tc>
      </w:tr>
      <w:tr>
        <w:trPr/>
        <w:tc>
          <w:tcPr>
            <w:tcW w:w="674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(4,113</w:t>
            </w:r>
          </w:p>
        </w:tc>
        <w:tc>
          <w:tcPr>
            <w:tcW w:w="151"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(4,702</w:t>
            </w:r>
          </w:p>
        </w:tc>
        <w:tc>
          <w:tcPr>
            <w:tcW w:w="110" w:type="dxa"/>
            <w:tcBorders/>
            <w:shd w:fill="CCEEFF" w:val="clear"/>
            <w:vAlign w:val="center"/>
          </w:tcPr>
          <w:p>
            <w:pPr>
              <w:pStyle w:val="TableContents"/>
              <w:bidi w:val="0"/>
              <w:spacing w:before="0" w:after="283"/>
              <w:jc w:val="left"/>
              <w:rPr/>
            </w:pPr>
            <w:r>
              <w:rPr/>
              <w:t>)</w:t>
            </w:r>
          </w:p>
        </w:tc>
      </w:tr>
      <w:tr>
        <w:trPr/>
        <w:tc>
          <w:tcPr>
            <w:tcW w:w="6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center"/>
          </w:tcPr>
          <w:p>
            <w:pPr>
              <w:pStyle w:val="TableContents"/>
              <w:bidi w:val="0"/>
              <w:spacing w:before="0" w:after="283"/>
              <w:jc w:val="right"/>
              <w:rPr/>
            </w:pPr>
            <w:r>
              <w:rPr/>
              <w:t>258</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3" w:type="dxa"/>
            <w:tcBorders>
              <w:bottom w:val="double" w:sz="10" w:space="0" w:color="000000"/>
            </w:tcBorders>
            <w:shd w:fill="FFFFFF" w:val="clear"/>
            <w:tcMar>
              <w:bottom w:w="28" w:type="dxa"/>
            </w:tcMar>
            <w:vAlign w:val="center"/>
          </w:tcPr>
          <w:p>
            <w:pPr>
              <w:pStyle w:val="TableContents"/>
              <w:bidi w:val="0"/>
              <w:spacing w:before="0" w:after="283"/>
              <w:jc w:val="right"/>
              <w:rPr/>
            </w:pPr>
            <w:r>
              <w:rPr/>
              <w:t>(4,371</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3" w:type="dxa"/>
            <w:tcBorders>
              <w:bottom w:val="double" w:sz="10" w:space="0" w:color="000000"/>
            </w:tcBorders>
            <w:shd w:fill="FFFFFF" w:val="clear"/>
            <w:tcMar>
              <w:bottom w:w="28" w:type="dxa"/>
            </w:tcMar>
            <w:vAlign w:val="center"/>
          </w:tcPr>
          <w:p>
            <w:pPr>
              <w:pStyle w:val="TableContents"/>
              <w:bidi w:val="0"/>
              <w:spacing w:before="0" w:after="283"/>
              <w:jc w:val="right"/>
              <w:rPr/>
            </w:pPr>
            <w:r>
              <w:rPr/>
              <w:t>(4,802</w:t>
            </w:r>
          </w:p>
        </w:tc>
        <w:tc>
          <w:tcPr>
            <w:tcW w:w="110" w:type="dxa"/>
            <w:tcBorders/>
            <w:shd w:fill="FFFFFF" w:val="clear"/>
            <w:vAlign w:val="center"/>
          </w:tcPr>
          <w:p>
            <w:pPr>
              <w:pStyle w:val="TableContents"/>
              <w:bidi w:val="0"/>
              <w:spacing w:before="0" w:after="283"/>
              <w:jc w:val="left"/>
              <w:rPr/>
            </w:pPr>
            <w:r>
              <w:rPr/>
              <w:t>)</w:t>
            </w:r>
          </w:p>
        </w:tc>
      </w:tr>
      <w:tr>
        <w:trPr/>
        <w:tc>
          <w:tcPr>
            <w:tcW w:w="6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(4,371</w:t>
            </w:r>
          </w:p>
        </w:tc>
        <w:tc>
          <w:tcPr>
            <w:tcW w:w="151"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(4,802</w:t>
            </w:r>
          </w:p>
        </w:tc>
        <w:tc>
          <w:tcPr>
            <w:tcW w:w="110" w:type="dxa"/>
            <w:tcBorders/>
            <w:shd w:fill="CCEEFF" w:val="clear"/>
            <w:vAlign w:val="center"/>
          </w:tcPr>
          <w:p>
            <w:pPr>
              <w:pStyle w:val="TableContents"/>
              <w:bidi w:val="0"/>
              <w:spacing w:before="0" w:after="283"/>
              <w:jc w:val="left"/>
              <w:rPr/>
            </w:pPr>
            <w:r>
              <w:rPr/>
              <w:t>)</w:t>
            </w:r>
          </w:p>
        </w:tc>
      </w:tr>
      <w:tr>
        <w:trPr/>
        <w:tc>
          <w:tcPr>
            <w:tcW w:w="674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FFFFFF" w:val="clear"/>
            <w:tcMar>
              <w:bottom w:w="28" w:type="dxa"/>
            </w:tcMar>
            <w:vAlign w:val="center"/>
          </w:tcPr>
          <w:p>
            <w:pPr>
              <w:pStyle w:val="TableContents"/>
              <w:bidi w:val="0"/>
              <w:spacing w:before="0" w:after="283"/>
              <w:jc w:val="right"/>
              <w:rPr/>
            </w:pPr>
            <w:r>
              <w:rPr/>
              <w:t>(416</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FFFFFF" w:val="clear"/>
            <w:tcMar>
              <w:bottom w:w="28" w:type="dxa"/>
            </w:tcMar>
            <w:vAlign w:val="center"/>
          </w:tcPr>
          <w:p>
            <w:pPr>
              <w:pStyle w:val="TableContents"/>
              <w:bidi w:val="0"/>
              <w:spacing w:before="0" w:after="283"/>
              <w:jc w:val="right"/>
              <w:rPr/>
            </w:pPr>
            <w:r>
              <w:rPr/>
              <w:t>385</w:t>
            </w:r>
          </w:p>
        </w:tc>
        <w:tc>
          <w:tcPr>
            <w:tcW w:w="11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Comprehensive loss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3" w:type="dxa"/>
            <w:tcBorders>
              <w:bottom w:val="double" w:sz="10" w:space="0" w:color="000000"/>
            </w:tcBorders>
            <w:shd w:fill="CCEEFF" w:val="clear"/>
            <w:tcMar>
              <w:bottom w:w="28" w:type="dxa"/>
            </w:tcMar>
            <w:vAlign w:val="center"/>
          </w:tcPr>
          <w:p>
            <w:pPr>
              <w:pStyle w:val="TableContents"/>
              <w:bidi w:val="0"/>
              <w:spacing w:before="0" w:after="283"/>
              <w:jc w:val="right"/>
              <w:rPr/>
            </w:pPr>
            <w:r>
              <w:rPr/>
              <w:t>(4,787</w:t>
            </w:r>
          </w:p>
        </w:tc>
        <w:tc>
          <w:tcPr>
            <w:tcW w:w="151"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3" w:type="dxa"/>
            <w:tcBorders>
              <w:bottom w:val="double" w:sz="10" w:space="0" w:color="000000"/>
            </w:tcBorders>
            <w:shd w:fill="CCEEFF" w:val="clear"/>
            <w:tcMar>
              <w:bottom w:w="28" w:type="dxa"/>
            </w:tcMar>
            <w:vAlign w:val="center"/>
          </w:tcPr>
          <w:p>
            <w:pPr>
              <w:pStyle w:val="TableContents"/>
              <w:bidi w:val="0"/>
              <w:spacing w:before="0" w:after="283"/>
              <w:jc w:val="right"/>
              <w:rPr/>
            </w:pPr>
            <w:r>
              <w:rPr/>
              <w:t>(4,417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ind w:left="418" w:right="0" w:hanging="0"/>
        <w:jc w:val="center"/>
        <w:rPr>
          <w:rFonts w:ascii="Times New Roman;Times;Serif" w:hAnsi="Times New Roman;Times;Serif"/>
          <w:b/>
          <w:i w:val="false"/>
          <w:caps w:val="false"/>
          <w:smallCaps w:val="false"/>
          <w:sz w:val="20"/>
        </w:rPr>
      </w:pPr>
      <w:bookmarkStart w:id="30" w:name="f_004"/>
      <w:bookmarkEnd w:id="30"/>
      <w:r>
        <w:rPr>
          <w:rFonts w:ascii="Times New Roman;Times;Serif" w:hAnsi="Times New Roman;Times;Serif"/>
          <w:b/>
          <w:i w:val="false"/>
          <w:caps w:val="false"/>
          <w:smallCaps w:val="false"/>
          <w:sz w:val="20"/>
        </w:rPr>
        <w:t>KIRA PHARMACEUTICALS</w:t>
      </w:r>
    </w:p>
    <w:p>
      <w:pPr>
        <w:pStyle w:val="TextBody"/>
        <w:bidi w:val="0"/>
        <w:spacing w:before="0" w:after="0"/>
        <w:ind w:left="41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REDEEMABLE CONVERTIBLE PREFERRED STOCK AND STOCKHOLDERS’ DEFICIT</w:t>
      </w:r>
    </w:p>
    <w:p>
      <w:pPr>
        <w:pStyle w:val="TextBody"/>
        <w:bidi w:val="0"/>
        <w:spacing w:before="0" w:after="0"/>
        <w:ind w:left="41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1840" w:type="dxa"/>
        <w:jc w:val="left"/>
        <w:tblInd w:w="0" w:type="dxa"/>
        <w:tblLayout w:type="fixed"/>
        <w:tblCellMar>
          <w:top w:w="0" w:type="dxa"/>
          <w:left w:w="0" w:type="dxa"/>
          <w:bottom w:w="0" w:type="dxa"/>
          <w:right w:w="0" w:type="dxa"/>
        </w:tblCellMar>
      </w:tblPr>
      <w:tblGrid>
        <w:gridCol w:w="1340"/>
        <w:gridCol w:w="60"/>
        <w:gridCol w:w="60"/>
        <w:gridCol w:w="875"/>
        <w:gridCol w:w="95"/>
        <w:gridCol w:w="60"/>
        <w:gridCol w:w="140"/>
        <w:gridCol w:w="875"/>
        <w:gridCol w:w="95"/>
        <w:gridCol w:w="60"/>
        <w:gridCol w:w="60"/>
        <w:gridCol w:w="1100"/>
        <w:gridCol w:w="60"/>
        <w:gridCol w:w="60"/>
        <w:gridCol w:w="231"/>
        <w:gridCol w:w="629"/>
        <w:gridCol w:w="60"/>
        <w:gridCol w:w="60"/>
        <w:gridCol w:w="163"/>
        <w:gridCol w:w="937"/>
        <w:gridCol w:w="95"/>
        <w:gridCol w:w="60"/>
        <w:gridCol w:w="188"/>
        <w:gridCol w:w="1182"/>
        <w:gridCol w:w="95"/>
        <w:gridCol w:w="60"/>
        <w:gridCol w:w="361"/>
        <w:gridCol w:w="1174"/>
        <w:gridCol w:w="95"/>
        <w:gridCol w:w="60"/>
        <w:gridCol w:w="184"/>
        <w:gridCol w:w="1156"/>
        <w:gridCol w:w="110"/>
      </w:tblGrid>
      <w:tr>
        <w:trPr/>
        <w:tc>
          <w:tcPr>
            <w:tcW w:w="134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1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Contingently Redeemable </w:t>
              <w:br/>
              <w:t>Convertible Preferred</w:t>
              <w:br/>
              <w:t>Stock</w:t>
            </w:r>
          </w:p>
        </w:tc>
        <w:tc>
          <w:tcPr>
            <w:tcW w:w="95" w:type="dxa"/>
            <w:tcBorders>
              <w:right w:val="single" w:sz="12" w:space="0" w:color="000000"/>
            </w:tcBorders>
            <w:tcMar>
              <w:right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Common </w:t>
              <w:br/>
              <w:t>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 xml:space="preserve">Additional </w:t>
              <w:b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b/>
              </w:rPr>
            </w:pPr>
            <w:r>
              <w:rPr>
                <w:b/>
              </w:rPr>
              <w:t xml:space="preserve">Accumulated </w:t>
              <w:br/>
              <w:t>other</w:t>
              <w:b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ind w:left="0" w:right="0" w:hanging="180"/>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right w:val="single" w:sz="12" w:space="0" w:color="000000"/>
            </w:tcBorders>
            <w:tcMar>
              <w:right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180"/>
              <w:jc w:val="center"/>
              <w:rPr/>
            </w:pPr>
            <w:r>
              <w:rPr/>
              <w:t> </w:t>
            </w:r>
          </w:p>
        </w:tc>
      </w:tr>
      <w:tr>
        <w:trPr/>
        <w:tc>
          <w:tcPr>
            <w:tcW w:w="1340" w:type="dxa"/>
            <w:tcBorders/>
            <w:shd w:fill="CCEEFF" w:val="clear"/>
            <w:vAlign w:val="center"/>
          </w:tcPr>
          <w:p>
            <w:pPr>
              <w:pStyle w:val="TableContents"/>
              <w:bidi w:val="0"/>
              <w:spacing w:before="0" w:after="283"/>
              <w:jc w:val="left"/>
              <w:rPr>
                <w:b/>
              </w:rPr>
            </w:pPr>
            <w:r>
              <w:rPr>
                <w:b/>
              </w:rPr>
              <w:t>Balances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722,097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150,887</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(154,306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(154,103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Foreign currency translation adjustment,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385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243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Accretion of Series A, B, and B+ contingently redeemable convertible preferred stock to redemption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10,631</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(10,388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(10,631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(4,802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(4,802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Balances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722,097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161,518</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(169,496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(168,908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Capital contribution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108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Foreign currency translation adjustment,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(416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(416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122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Accretion of Series A, B, and B+ contingently redeemable convertible preferred stock to redemption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7,072</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(6,887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(7,072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Conversion of contingently redeemable preferred stock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(722,097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(168,590</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722,097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168,583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168,590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Conversion of related party convertible note 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16,229,226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4,204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(4,371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(4,371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Balances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right w:val="single" w:sz="1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17,054,011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FFFFFF" w:val="clear"/>
            <w:tcMar>
              <w:bottom w:w="28" w:type="dxa"/>
            </w:tcMar>
            <w:vAlign w:val="center"/>
          </w:tcPr>
          <w:p>
            <w:pPr>
              <w:pStyle w:val="TableContents"/>
              <w:bidi w:val="0"/>
              <w:spacing w:before="0" w:after="283"/>
              <w:jc w:val="right"/>
              <w:rPr/>
            </w:pPr>
            <w:r>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172,670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(180,754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FFFFFF" w:val="clear"/>
            <w:tcMar>
              <w:bottom w:w="28" w:type="dxa"/>
            </w:tcMar>
            <w:vAlign w:val="center"/>
          </w:tcPr>
          <w:p>
            <w:pPr>
              <w:pStyle w:val="TableContents"/>
              <w:bidi w:val="0"/>
              <w:spacing w:before="0" w:after="283"/>
              <w:jc w:val="right"/>
              <w:rPr/>
            </w:pPr>
            <w:r>
              <w:rPr/>
              <w:t>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10" w:space="0" w:color="000000"/>
            </w:tcBorders>
            <w:shd w:fill="FFFFFF" w:val="clear"/>
            <w:tcMar>
              <w:bottom w:w="28" w:type="dxa"/>
            </w:tcMar>
            <w:vAlign w:val="center"/>
          </w:tcPr>
          <w:p>
            <w:pPr>
              <w:pStyle w:val="TableContents"/>
              <w:bidi w:val="0"/>
              <w:spacing w:before="0" w:after="283"/>
              <w:jc w:val="right"/>
              <w:rPr/>
            </w:pPr>
            <w:r>
              <w:rPr/>
              <w:t>(7,743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720" w:right="0" w:firstLine="302"/>
        <w:jc w:val="center"/>
        <w:rPr>
          <w:caps w:val="false"/>
          <w:smallCaps w:val="false"/>
        </w:rPr>
      </w:pPr>
      <w:r>
        <w:rPr>
          <w:caps w:val="false"/>
          <w:smallCaps w:val="false"/>
        </w:rPr>
        <w:t> </w:t>
      </w:r>
    </w:p>
    <w:p>
      <w:pPr>
        <w:pStyle w:val="TextBody"/>
        <w:bidi w:val="0"/>
        <w:spacing w:before="0" w:after="0"/>
        <w:ind w:left="720" w:right="0" w:firstLine="302"/>
        <w:jc w:val="center"/>
        <w:rPr>
          <w:rFonts w:ascii="Times New Roman;Times;Serif" w:hAnsi="Times New Roman;Times;Serif"/>
          <w:b/>
          <w:i w:val="false"/>
          <w:caps w:val="false"/>
          <w:smallCaps w:val="false"/>
          <w:sz w:val="20"/>
        </w:rPr>
      </w:pPr>
      <w:bookmarkStart w:id="31" w:name="f_005"/>
      <w:bookmarkEnd w:id="31"/>
      <w:r>
        <w:rPr>
          <w:rFonts w:ascii="Times New Roman;Times;Serif" w:hAnsi="Times New Roman;Times;Serif"/>
          <w:b/>
          <w:i w:val="false"/>
          <w:caps w:val="false"/>
          <w:smallCaps w:val="false"/>
          <w:sz w:val="20"/>
        </w:rPr>
        <w:t>KIRA PHARMACEUTICALS</w:t>
      </w:r>
    </w:p>
    <w:p>
      <w:pPr>
        <w:pStyle w:val="TextBody"/>
        <w:bidi w:val="0"/>
        <w:spacing w:before="0" w:after="0"/>
        <w:ind w:left="418" w:right="0" w:firstLine="30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41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792" w:type="dxa"/>
        <w:jc w:val="left"/>
        <w:tblInd w:w="0" w:type="dxa"/>
        <w:tblLayout w:type="fixed"/>
        <w:tblCellMar>
          <w:top w:w="0" w:type="dxa"/>
          <w:left w:w="0" w:type="dxa"/>
          <w:bottom w:w="0" w:type="dxa"/>
          <w:right w:w="0" w:type="dxa"/>
        </w:tblCellMar>
      </w:tblPr>
      <w:tblGrid>
        <w:gridCol w:w="6905"/>
        <w:gridCol w:w="60"/>
        <w:gridCol w:w="203"/>
        <w:gridCol w:w="1163"/>
        <w:gridCol w:w="138"/>
        <w:gridCol w:w="87"/>
        <w:gridCol w:w="203"/>
        <w:gridCol w:w="923"/>
        <w:gridCol w:w="110"/>
      </w:tblGrid>
      <w:tr>
        <w:trPr/>
        <w:tc>
          <w:tcPr>
            <w:tcW w:w="6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26"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(4,371</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(4,802</w:t>
            </w:r>
          </w:p>
        </w:tc>
        <w:tc>
          <w:tcPr>
            <w:tcW w:w="110" w:type="dxa"/>
            <w:tcBorders/>
            <w:shd w:fill="CCEEFF" w:val="clear"/>
            <w:vAlign w:val="center"/>
          </w:tcPr>
          <w:p>
            <w:pPr>
              <w:pStyle w:val="TableContents"/>
              <w:bidi w:val="0"/>
              <w:spacing w:before="0" w:after="283"/>
              <w:jc w:val="left"/>
              <w:rPr/>
            </w:pPr>
            <w:r>
              <w:rPr/>
              <w:t>)</w:t>
            </w:r>
          </w:p>
        </w:tc>
      </w:tr>
      <w:tr>
        <w:trPr/>
        <w:tc>
          <w:tcPr>
            <w:tcW w:w="6905"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Gain on settlement of accounts payable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(2,027</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Loss from issuance and remeasurement of convertible note at fair value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3,950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122</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243</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Deferred tax expense (benefit)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79</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(61</w:t>
            </w:r>
          </w:p>
        </w:tc>
        <w:tc>
          <w:tcPr>
            <w:tcW w:w="110" w:type="dxa"/>
            <w:tcBorders/>
            <w:shd w:fill="CCEEFF" w:val="clear"/>
            <w:vAlign w:val="center"/>
          </w:tcPr>
          <w:p>
            <w:pPr>
              <w:pStyle w:val="TableContents"/>
              <w:bidi w:val="0"/>
              <w:spacing w:before="0" w:after="283"/>
              <w:jc w:val="left"/>
              <w:rPr/>
            </w:pPr>
            <w:r>
              <w:rPr/>
              <w:t>)</w:t>
            </w:r>
          </w:p>
        </w:tc>
      </w:tr>
      <w:tr>
        <w:trPr/>
        <w:tc>
          <w:tcPr>
            <w:tcW w:w="6905" w:type="dxa"/>
            <w:tcBorders/>
            <w:shd w:fill="FFFFFF" w:val="clear"/>
            <w:vAlign w:val="center"/>
          </w:tcPr>
          <w:p>
            <w:pPr>
              <w:pStyle w:val="TableContents"/>
              <w:bidi w:val="0"/>
              <w:spacing w:before="0" w:after="283"/>
              <w:jc w:val="left"/>
              <w:rPr/>
            </w:pPr>
            <w:r>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24</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Unrealized foreign currency transaction (gain) loss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(258</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314</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Changes in current assets and liabilities: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Prepaid expenses, other current assets, and other noncurrent assets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277</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(90)</w:t>
            </w:r>
          </w:p>
        </w:tc>
        <w:tc>
          <w:tcPr>
            <w:tcW w:w="110" w:type="dxa"/>
            <w:tcBorders/>
            <w:shd w:fill="CCEEFF" w:val="clear"/>
          </w:tcPr>
          <w:p>
            <w:pPr>
              <w:pStyle w:val="TableContents"/>
              <w:bidi w:val="0"/>
              <w:spacing w:before="0" w:after="283"/>
              <w:jc w:val="left"/>
              <w:rPr>
                <w:sz w:val="4"/>
                <w:szCs w:val="4"/>
              </w:rPr>
            </w:pPr>
            <w:r>
              <w:rPr>
                <w:sz w:val="4"/>
                <w:szCs w:val="4"/>
              </w:rPr>
            </w:r>
          </w:p>
        </w:tc>
      </w:tr>
      <w:tr>
        <w:trPr/>
        <w:tc>
          <w:tcPr>
            <w:tcW w:w="6905" w:type="dxa"/>
            <w:tcBorders/>
            <w:shd w:fill="FFFFFF" w:val="clear"/>
            <w:vAlign w:val="center"/>
          </w:tcPr>
          <w:p>
            <w:pPr>
              <w:pStyle w:val="TableContents"/>
              <w:bidi w:val="0"/>
              <w:spacing w:before="0" w:after="283"/>
              <w:jc w:val="left"/>
              <w:rPr/>
            </w:pPr>
            <w:r>
              <w:rPr/>
              <w:t>Trade accounts payable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1,831</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1,031</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(1,150</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(624</w:t>
            </w:r>
          </w:p>
        </w:tc>
        <w:tc>
          <w:tcPr>
            <w:tcW w:w="110" w:type="dxa"/>
            <w:tcBorders/>
            <w:shd w:fill="CCEEFF" w:val="clear"/>
            <w:vAlign w:val="center"/>
          </w:tcPr>
          <w:p>
            <w:pPr>
              <w:pStyle w:val="TableContents"/>
              <w:bidi w:val="0"/>
              <w:spacing w:before="0" w:after="283"/>
              <w:jc w:val="left"/>
              <w:rPr/>
            </w:pPr>
            <w:r>
              <w:rPr/>
              <w:t>)</w:t>
            </w:r>
          </w:p>
        </w:tc>
      </w:tr>
      <w:tr>
        <w:trPr/>
        <w:tc>
          <w:tcPr>
            <w:tcW w:w="690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(27</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(27</w:t>
            </w:r>
          </w:p>
        </w:tc>
        <w:tc>
          <w:tcPr>
            <w:tcW w:w="110" w:type="dxa"/>
            <w:tcBorders/>
            <w:shd w:fill="FFFFFF" w:val="clear"/>
            <w:vAlign w:val="center"/>
          </w:tcPr>
          <w:p>
            <w:pPr>
              <w:pStyle w:val="TableContents"/>
              <w:bidi w:val="0"/>
              <w:spacing w:before="0" w:after="283"/>
              <w:jc w:val="left"/>
              <w:rPr/>
            </w:pPr>
            <w:r>
              <w:rPr/>
              <w:t>)</w:t>
            </w:r>
          </w:p>
        </w:tc>
      </w:tr>
      <w:tr>
        <w:trPr/>
        <w:tc>
          <w:tcPr>
            <w:tcW w:w="6905"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241</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198</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(1,299</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(3,779</w:t>
            </w:r>
          </w:p>
        </w:tc>
        <w:tc>
          <w:tcPr>
            <w:tcW w:w="110" w:type="dxa"/>
            <w:tcBorders/>
            <w:shd w:fill="FFFFFF" w:val="clear"/>
            <w:vAlign w:val="center"/>
          </w:tcPr>
          <w:p>
            <w:pPr>
              <w:pStyle w:val="TableContents"/>
              <w:bidi w:val="0"/>
              <w:spacing w:before="0" w:after="283"/>
              <w:jc w:val="left"/>
              <w:rPr/>
            </w:pPr>
            <w:r>
              <w:rPr/>
              <w:t>)</w:t>
            </w:r>
          </w:p>
        </w:tc>
      </w:tr>
      <w:tr>
        <w:trPr/>
        <w:tc>
          <w:tcPr>
            <w:tcW w:w="6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Proceeds from promissory note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600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Proceeds from related party convertible note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254</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Proceeds from capital contribution from related party</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962</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26</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jc w:val="left"/>
              <w:rPr/>
            </w:pPr>
            <w:r>
              <w:rPr/>
              <w:t>)</w:t>
            </w:r>
          </w:p>
        </w:tc>
      </w:tr>
      <w:tr>
        <w:trPr/>
        <w:tc>
          <w:tcPr>
            <w:tcW w:w="6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(311</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(3,841</w:t>
            </w:r>
          </w:p>
        </w:tc>
        <w:tc>
          <w:tcPr>
            <w:tcW w:w="110" w:type="dxa"/>
            <w:tcBorders/>
            <w:shd w:fill="FFFFFF" w:val="clear"/>
            <w:vAlign w:val="center"/>
          </w:tcPr>
          <w:p>
            <w:pPr>
              <w:pStyle w:val="TableContents"/>
              <w:bidi w:val="0"/>
              <w:spacing w:before="0" w:after="283"/>
              <w:jc w:val="left"/>
              <w:rPr/>
            </w:pPr>
            <w:r>
              <w:rPr/>
              <w:t>)</w:t>
            </w:r>
          </w:p>
        </w:tc>
      </w:tr>
      <w:tr>
        <w:trPr/>
        <w:tc>
          <w:tcPr>
            <w:tcW w:w="6905" w:type="dxa"/>
            <w:tcBorders/>
            <w:shd w:fill="CCEEFF" w:val="clear"/>
            <w:vAlign w:val="center"/>
          </w:tcPr>
          <w:p>
            <w:pPr>
              <w:pStyle w:val="TableContents"/>
              <w:bidi w:val="0"/>
              <w:spacing w:before="0" w:after="283"/>
              <w:jc w:val="left"/>
              <w:rPr/>
            </w:pPr>
            <w:r>
              <w:rPr/>
              <w:t>Cash and cash equivalents—beginning of year</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898</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4,739</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Cash and cash equivalents—end of year</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3" w:type="dxa"/>
            <w:tcBorders>
              <w:bottom w:val="double" w:sz="10" w:space="0" w:color="000000"/>
            </w:tcBorders>
            <w:shd w:fill="FFFFFF" w:val="clear"/>
            <w:tcMar>
              <w:bottom w:w="28" w:type="dxa"/>
            </w:tcMar>
            <w:vAlign w:val="center"/>
          </w:tcPr>
          <w:p>
            <w:pPr>
              <w:pStyle w:val="TableContents"/>
              <w:bidi w:val="0"/>
              <w:spacing w:before="0" w:after="283"/>
              <w:jc w:val="right"/>
              <w:rPr/>
            </w:pPr>
            <w:r>
              <w:rPr/>
              <w:t>587</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3" w:type="dxa"/>
            <w:tcBorders>
              <w:bottom w:val="double" w:sz="10" w:space="0" w:color="000000"/>
            </w:tcBorders>
            <w:shd w:fill="FFFFFF" w:val="clear"/>
            <w:tcMar>
              <w:bottom w:w="28" w:type="dxa"/>
            </w:tcMar>
            <w:vAlign w:val="center"/>
          </w:tcPr>
          <w:p>
            <w:pPr>
              <w:pStyle w:val="TableContents"/>
              <w:bidi w:val="0"/>
              <w:spacing w:before="0" w:after="283"/>
              <w:jc w:val="right"/>
              <w:rPr/>
            </w:pPr>
            <w:r>
              <w:rPr/>
              <w:t>898</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Cash paid for taxes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double" w:sz="10" w:space="0" w:color="000000"/>
            </w:tcBorders>
            <w:shd w:fill="CCEEFF" w:val="clear"/>
            <w:tcMar>
              <w:bottom w:w="28" w:type="dxa"/>
            </w:tcMar>
            <w:vAlign w:val="center"/>
          </w:tcPr>
          <w:p>
            <w:pPr>
              <w:pStyle w:val="TableContents"/>
              <w:bidi w:val="0"/>
              <w:spacing w:before="0" w:after="283"/>
              <w:jc w:val="right"/>
              <w:rPr/>
            </w:pPr>
            <w:r>
              <w:rPr/>
              <w:t>25</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10" w:space="0" w:color="000000"/>
            </w:tcBorders>
            <w:shd w:fill="CCEEFF" w:val="clear"/>
            <w:tcMar>
              <w:bottom w:w="28" w:type="dxa"/>
            </w:tcMar>
            <w:vAlign w:val="center"/>
          </w:tcPr>
          <w:p>
            <w:pPr>
              <w:pStyle w:val="TableContents"/>
              <w:bidi w:val="0"/>
              <w:spacing w:before="0" w:after="283"/>
              <w:jc w:val="right"/>
              <w:rPr/>
            </w:pPr>
            <w:r>
              <w:rPr/>
              <w:t>79</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b/>
              </w:rPr>
            </w:pPr>
            <w:r>
              <w:rPr>
                <w:b/>
              </w:rPr>
              <w:t>Non-cash financing and investing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Conversion of related party convertible note to common stock</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3" w:type="dxa"/>
            <w:tcBorders>
              <w:bottom w:val="double" w:sz="10" w:space="0" w:color="000000"/>
            </w:tcBorders>
            <w:shd w:fill="FFFFFF" w:val="clear"/>
            <w:tcMar>
              <w:bottom w:w="28" w:type="dxa"/>
            </w:tcMar>
            <w:vAlign w:val="center"/>
          </w:tcPr>
          <w:p>
            <w:pPr>
              <w:pStyle w:val="TableContents"/>
              <w:bidi w:val="0"/>
              <w:spacing w:before="0" w:after="283"/>
              <w:jc w:val="right"/>
              <w:rPr/>
            </w:pPr>
            <w:r>
              <w:rPr/>
              <w:t>4,204</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Conversion of contingently redeemable preferred stock to common stock</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double" w:sz="10" w:space="0" w:color="000000"/>
            </w:tcBorders>
            <w:shd w:fill="CCEEFF" w:val="clear"/>
            <w:tcMar>
              <w:bottom w:w="28" w:type="dxa"/>
            </w:tcMar>
            <w:vAlign w:val="center"/>
          </w:tcPr>
          <w:p>
            <w:pPr>
              <w:pStyle w:val="TableContents"/>
              <w:bidi w:val="0"/>
              <w:spacing w:before="0" w:after="283"/>
              <w:jc w:val="right"/>
              <w:rPr/>
            </w:pPr>
            <w:r>
              <w:rPr/>
              <w:t>168,590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18"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f_006"/>
      <w:bookmarkEnd w:id="32"/>
      <w:r>
        <w:rPr>
          <w:rFonts w:ascii="Times New Roman;Times;Serif" w:hAnsi="Times New Roman;Times;Serif"/>
          <w:b/>
          <w:i w:val="false"/>
          <w:caps w:val="false"/>
          <w:smallCaps w:val="false"/>
          <w:sz w:val="20"/>
        </w:rPr>
        <w:t>KIRA PHARMACEUTICALS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Business, Basis of Presentation and Going Concern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Kira Pharmaceuticals and subsidiaries (the “Company”) is a biotechnology company that was incorporated as an exempted company in the Cayman Islands with limited liability in June 2017. The Company has operations in the United States, People’s Republic of China (“China”) and Australia. All subsidiaries are wholly-owned. The Company’s subsidiaries formed in China are Kira Pharmaceuticals (Hong Kong) Limited (“Kira Hong Kong”), Kira Pharmaceuticals (Suzhou) Limited (“Kira Suzhou”), and Kira Pharmaceuticals (Shanghai) Limited (“Kira Shanghai”). Additionally, the Company’s subsidiaries formed in the United States and Australia are Kira Pharmaceuticals (US) LLC and Kira Pharmaceuticals (Australia) PTY LTD, respectively. The Company is a clinical-stage biopharmaceutical company engaged in the discovery and development of novel therapeutics to treat complement-mediated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11, 2025, the Company’s shareholders approved an amendment to the Company’s authorized share capital that included a share consolidation, whereby the par value of the Company’s ordinary shares was increased from $0.0001 per share to $0.01 per share. As a result of the share consolidation, every 100 ordinary shares issued and outstanding were combined into one ordinary share, resulting in a 100 to 1 reverse stock split. The Amended and Restated Articles of Association for the share consolidation became effective on January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Amended and Restated Memorandum and Articles of Association reflecting the increase in the Company’s authorized share capital to 1,750,000,000 ordinary shares (17,500,000 ordinary shares on a post-Share Consolidation basis) was not filed with the Registrar of Companies of the Cayman Islands until January 6, 2026, the Company determined that the shareholder approval described above, rather than the ministerial filing that followed, was the operative corporate action. Accordingly, the increased share capital was authorized as of December 31, 2025. As of December 31, 2024, 4,277,903 ordinary shares were authorized on a post-Share Consolidation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Share Consolidation, the number of the Company’s issued and outstanding ordinary shares decreased from 1,705,401,163 to 17,054,011. The par value of the Company’s ordinary shares changed from $0.0001 per share to $0.01 per share after the Share Consolidation. Ordinary shares are referred to herein as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and per share data presented in these consolidated financial statements for all periods presented has been adjusted for the Share Consolidation. In addition, historical common stock and additional paid-in capital balances have been retrospectively adjusted to reflect the post-consolidation capital structure and related change in par value for all periods presented. Total stockholders’ deficit was not affected by these adjustments.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Updates (“ASU”) issued by the Financial Accounting Standards Board (“FASB”).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wholly-owned subsidiaries. All intercompany transactions and balances have been eliminated in consolidation.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Uncertainties, and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common to companies in the biotechnology industry, including, but not limited to, successful development of technology, obtaining additional funding, protection of proprietary technology, compliance with government regulations, risks of failure of preclinical studies, clinical studies and clinical trials, the need to obtain marketing approval for its product candidates and the ability to successfully market its therapies for any products that receive approval, fluctuations in operating results, economic pressure impacting therapeutic pricing, dependence on key personnel, risks associated with changes in technologies, development by competitors of technological innovations and the ability to scale manufacturing to large scale production.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development efforts are successful, it is uncertain when, if ever, the Company will realize significant revenue from therapy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a loss since inception resulting in an accumulated deficit of $180.8 million as of December 31, 2025 and further losses are anticipated in the development of its business. For the year ended December 31, 2025, the Company has operating cash outflows of $1.3 million and had a loss from operations of $2.4 million. Since inception, being a research and development company, the Company has not yet generated revenue and the Company has incurred continuing losses from its operations. The Company is subject to risks common to biotechnology companies, including technology development, regulatory approval, clinical outcomes, commercialization, competition, manufacturing scale-up and the need for additional funding. The Company’s operations have been funded principally through the issuance of debt and equity. These factors raised substantial doubt about the Company’s ability to continue as a going concern for a period of one year from the date the consolidated financial statements were available to be issued.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completed the merger with Jasper Therapeutics, Inc. ("Jasper"), at which time Jasper completed a private placement financing through the sale of non-voting convertible preferred stock, resulting in gross proceeds of $132.0 million (see Note 12). Jasper has agreed to seek a stockholder vote to convert the Non-Voting Convertible Preferred Stock within 120 days from the closing of the merger. In addition, in the event the Company is unable to obtain stockholder approval of the conversion of the Non-Voting Convertible Preferred Stock within 12 months of the closing of the Merger, holders have the right to require the Company to repurchase the Non-Voting Convertible Preferred Stock at the then current fair market value. </w:t>
      </w:r>
    </w:p>
    <w:p>
      <w:pPr>
        <w:pStyle w:val="TextBody"/>
        <w:bidi w:val="0"/>
        <w:spacing w:before="0" w:after="0"/>
        <w:ind w:left="0" w:right="0" w:firstLine="48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satisfaction of liabilities in the ordinary course of business. These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U.S. GAAP requires management to make estimates and assumptions that affect the reported amounts of assets, liabilities and related disclosure of contingent assets and liabilities at the date of the consolidated financial statements and the reported amounts of expenses during the reporting period. The Company bases its estimates on historical experience, known trends and other market-specific or relevant factors that it believes to be reasonable under the circumstances. On an ongoing basis, management evaluates its estimates as there are changes in circumstances, facts and experience. Actual results may differ from those estimates or assumptions.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Functional Currencies and Foreign Currency Translation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U.S. dollars (“USD”). The functional currency of Kira USA, Kira Cayman, and Kira Hong Kong (“H.K.”) is USD, while the functional currency of Kira Suzhou and Kira Shanghai is the Chinese Yuan (“CNY”) and the functional currency of Kira Australia is the Australian dollars (“AUD”). Transactions denominated in other than the functional currencies are remeasured into the functional currency of the entity at the exchange rates prevailing on the transaction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all foreign currency denominated balance sheet accounts have been translated into U.S. dollars using the rate of exchange at the respective balance sheet date. Components of the consolidated statements of operations and comprehensive loss have been translated at the average exchange rate in effect during the reporting period. Translation gains and losses are recorded in accumulated other comprehensive loss as a component of stockholders’ deficit. Net realized and unrealized gains and losses arising from foreign currency transactions and remeasurement are reported in other income (expense) in the consolidated statements of operations and comprehensive loss.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 maturity of three months or less when purchased to be cash equivalents. Cash equivalents are carried at cost, which approximates fair value. Cash equivalents consist primarily of money market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limits its credit risk associated with cash and cash equivalents by maintaining its bank accounts at major and reputable financial institutions. The Company’s cash and cash equivalents balances, at times, may exceed the federally insured limit of $250,000 per financial institution in the United States and ¥500,000 per financial institution in China. The Company does not believe that it is subject to unusual credit risk beyond the normal credit risk associated with commercial banking relationships.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and classifies its leases at commencement. Operating leases are presented as right-of-use (“ROU”) assets and the corresponding lease liabilities are included in lease liability, current and lease liability, on the Company’s balance sheets. ROU assets represent the Company’s right to use an underlying asset, and lease liabilities represent the Company’s obligation to make lease payments in exchange for the ability to use the asset for the duration of the lease term. The option to extend a lease is included in the lease term only when it is reasonably certain that the Company will elect that option. Additionally, the Company does not record ROU assets or lease liabilities for short-term leases that have a term of twelve months or less at lease commencement. The Company recognizes the lease expense for such leases on a straight-line basis over the lease term. The Company has elected to combine lease and non-lease components as a single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and lease liabilities are recognized at the commencement date and determined using the present value of the future minimum lease payments over the lease term. For any identified leases not determined to be short-term, The Company uses an incremental borrowing rate based on an estimated rate of interest for collateralized borrowing for any leases that do not include an implicit interest rate. Where applicable, the estimated incremental borrowing rate considers market data, actual lease economic environment, and the lease term at commencement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involved in legal actions, nor is management aware of any potential claims or legal actions, for which the ultimate disposition could have a material effect on the Company’s financial positions, results of operations or liquidity.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in performing research and development activities, including salaries and bonuses, materials and supplies, preclinical and clinical trial expenses, stock-based compensation expense, employee benefits, consulting costs and external costs of vendors engaged to conduct research and depreciation of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for research and development activities are expensed in the period in which they are incurred. Payments for such activities are based on the terms of the individual arrangements, which may differ from the pattern of costs incurred, and are reflected in the financial statements as prepaid expense or accrued research and development expense. Accruals are recorded based on estimates of services received and efforts expended pursuant to agreements established with contract research organizations (“CRO”), contract manufacturing organizations (“CMO”),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In the event advance payments are made to a CRO, CMO, or outside service provider, the payments will be recorded as a prepaid asset which will be amortized as the contracted services are performed. Determining the prepaid and accrued balances at the end of any reporting period incorporates certain judgments and estimates by management that are based on information available to the Company including information provided by vendors regarding the progress to completion of specific tasks or costs incurred.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patent-related costs incurred in connection with preparing, filing, maintaining and prosecuting patent applications are expensed as incurred due to the uncertainty about the recovery of the expenditure. Amounts incurred are classified as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the provision for income taxes in the period that includes the enactment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assets to the extent that management believes that these assets are more likely than not to be realized in the future. In making such a determination, management considers all available positive and negative evidence, including future reversals of existing taxable temporary differences, projected future taxable income, tax-planning strategies, and results of recent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reserves for potential payments of taxes to various tax authorities related to uncertain tax positions. Amounts recognized are based on a determination of whether a tax benefit taken by the Company in its tax filings or positions is “more likely than not” to be sustained under audit. The amount recognized is equal to the largest amount that is more than 50% likely to be sustained. Interest and penalties associated with uncertain tax positions are recorded as a component of income tax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(the exit price) in an orderly transaction between market participants at the measurement date. The fair value standard outlines a valuation framework and creates a fair value hierarchy in order to increase the consistency and comparability of fair value measurements and the related disclosures. The Company uses the hierarchy prescribed in the accounting guidance for fair value measurements, based upon the available inputs to the valuation and the degree to which they are observable or not observable in the market. The three levels in the hierarchy are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 Quoted prices (unadjusted) for identical assets or liabilities in active markets that are accessible as of the measurement date;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 Inputs other than quoted prices in active markets for identical assets and liabilities that are observable either directly or indirectly for substantially the full term of the asset or liability; and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 Unobservable inputs reflecting the Company’s own assumptions about the assumptions that market participants would use in pricing the asset or liability, including assumptions about risk.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certain financial assets and liabilities, including prepaid and other current assets, accounts payable, and accrued liabilities approximate fair value because of the short maturity and liquidity of those instruments. The classification of assets and liabilities within the valuation hierarchy is based upon the lowest level of input that is significant to the fair value measurement in its entirety. See Note 11 for fair value disclosures related to the Company’s convertible promissory note - related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 - Related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its convertible promissory notes and determined that they contain embedded features that may require separate accounting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Accordingly, the Company elected the fair value option (“FVO”) under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for its convertible promissory notes upon issuance. Under the FVO, the notes are initially recognized at fair value and subsequently remeasured at fair value at each reporting date. Interest expense is recorded within interest expense in the Company’s consolidated statements of operations and comprehensive loss. Changes in fair value, other than amounts attributable to instrument-specific credit risk, are recognized in earnings within other income (expense), net. Changes in fair value attributable to instrument-specific credit risk are recognized in other comprehensive income (loss). For the periods presented, the Company determined that changes in fair value attributable to instrument-specific credit risk were not significant. The election of the FVO is irrevocable and is applied on an instrument-by-instrument basis. As a result of the FVO election, embedded features within the convertible promissory notes are not separately accounted for. Debt issuance costs associated with convertible promissory notes accounted for under the FVO are expensed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related-party convertible promissory note using a probability-weighted expected return method that considers the potential settlement outcomes under the contractual terms of the note. Significant unobservable inputs include the probability of each settlement scenario, expected timing of settlement, market-based discount rates, estimated equity values underlying potential conversion outcomes, and recovery assumptions in the event of default. The fair value measurement is classified within Level 3 of the fair value hierarchy due to the use of significant unobservable inputs.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Contingently Redeemable Convertible Preferred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redeemable convertible preferred stock is classified outside of stockholders’ deficit because the holders of such shares have liquidation rights in the event of a deemed liquidation that, in certain situations, are not solely within the control of the Company. The carrying values of the Company’s preferred stock are being accreted to their respective redemption values at the end of each reporting period as if the end of the reporting period were the redemption date. Increases to the carrying values of redeemable convertible preferred stock are charged to additional paid-in capital or, in the absence of additional paid-in capital, charged to accumulated deficit.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employee and nonemployee stock-based awards at their grant-date fair value and recognizes compensation expense on a straight-line basis over the requisite service period of the awards. The Company accounts for forfeitures as they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the fair value of stock-based awards requires the use of subjective assumptions, including the estimated fair value of the Company’s common stock for stock options and other equity awards. In addition, for stock options, the Company estimates the expected term of the awards, expected stock price volatility, expected dividend yield and the risk-free interest rate. The Company uses the Black-Scholes option-pricing model to estimate the fair value of stock option awards. The assumptions used in estimating the fair value of stock-based awards represent management’s estimates and involve inherent uncertainties and the application of management’s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 is based on U.S. Treasury securities with maturities commensurate with the expected term of the award at the grant date. The expected dividend yield is zero because the Company has never declared or paid dividends and does not currently expect to pay dividends in the foreseeable future. The expected term of stock options is determined using the simplified method, which utilizes the midpoint between the vesting date and the contractual term of the award. Because the Company does not have sufficient historical exercise data and its common stock is not publicly traded, expected volatility is estimated based on the historical volatilities of a group of comparable publicly traded companies over a period corresponding to the expected term of the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Company’s common stock was not publicly traded during the periods presented, the board of directors periodically estimated the fair value of the Company’s common stock. In determining the fair value of common stock, the board considered, among other factors, contemporaneous third-party valuations, the rights and preferences of the Company’s preferred stock, the Company’s operating and financial performance, market conditions, comparable company data and the probability and timing of potential liquidity events. The Company utilized valuation methodologies consistent with the guidance set forth in the American Institute of Certified Public Accountants Practice Aid, Valuation of Privately-Held Company Equity Securities Issued as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contingent liabilities in accordance with ASC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This guidance requires the Company to assess potential contingent liabilities that may exist as of the date of the financial statements to determine the probability and amount of loss that may have occurred. If the assessment of a contingency indicates that it is probable that a material loss has been incurred and the amount of the liability can be estimated, then the estimated liability would be accrued in the Company’s consolidated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contingencies considered remote, no accrual or disclosures are generally made.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entered into agreements with vendors to settle outstanding payables. Pursuant to the agreements with certain vendors, the Company was required to make payments upon a qualified transaction, as defined within the agreements. The amount of contingent liabilities was fixed within the vendors’ agreements as a percentage of the total outstanding balance that was settled.  As of December 31, 2025, the total amount of contingent liabilities was $48.3 thousand. The Company determined that it was not probable that the qualified transaction would occur, therefore the liabilities were not recognized as of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accounts payable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enter into agreements with vendors to settle outstanding payables for amounts less than the recorded liability. When such arrangements result in the Company being legally released from its obligation and the liability is settled, the Company derecognizes the amount of the accounts payable that is settled and records a corresponding gain in earnings in accordance with ASC 405</w:t>
      </w:r>
      <w:r>
        <w:rPr>
          <w:rFonts w:ascii="Times New Roman;Times;Serif" w:hAnsi="Times New Roman;Times;Serif"/>
          <w:b w:val="false"/>
          <w:i/>
          <w:caps w:val="false"/>
          <w:smallCaps w:val="false"/>
          <w:sz w:val="20"/>
        </w:rPr>
        <w:t xml:space="preserve">, Liabilities. </w:t>
      </w:r>
      <w:r>
        <w:rPr>
          <w:rFonts w:ascii="Times New Roman;Times;Serif" w:hAnsi="Times New Roman;Times;Serif"/>
          <w:b w:val="false"/>
          <w:i w:val="false"/>
          <w:caps w:val="false"/>
          <w:smallCaps w:val="false"/>
          <w:sz w:val="20"/>
        </w:rPr>
        <w:t>During the years ended December 31, 2025 and 2024 the Company recorded $2.0 million and $0 of gains from settlement of such payables, respectively. Subsequent to December 31, 2025, the Company recorded $1.3 million of gains from the settlement such payables.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Recently Issued Accounting Pronouncements Adopted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amends the disclosure to address investor requests for more transparency about income tax information through improvements to income tax disclosures primarily related to the rate reconciliation and income taxes paid information and includes certain other amendments to improve the effectiveness of income tax disclosures. The ASU is effective on a prospective basis for annual periods beginning after December 15, 2025, and early adoption and retrospective application are permitted. The Company early adopted ASU 2023-09 effective January 1, 2025 on a retrospective basis. The impact of ASU 2023-09 on the Company’s consolidated financial statements is reflected in Note 7 - Income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 Not Yet Adopted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Disaggregation of Income Statement Expenses. This update requires entities to disaggregate operating expenses into specific categories, such as salaries and wages, depreciation, and amortization, to provide enhanced transparency into the nature and function of expenses. In January 2025, the FASB issued ASU 2025-01, clarifying the effective date of ASU 2024-03 to be fiscal years beginning after December 15, 2026, with early adoption permitted, and interim periods beginning after December 15, 2027. ASU 2024-03 may be applied retrospectively or prospectively. The Company is currently evaluating the impact of ASU 2024-03 on its financial statement presentation and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FASB issued ASU 2025-03, </w:t>
      </w:r>
      <w:r>
        <w:rPr>
          <w:rFonts w:ascii="Times New Roman;Times;Serif" w:hAnsi="Times New Roman;Times;Serif"/>
          <w:b w:val="false"/>
          <w:i/>
          <w:caps w:val="false"/>
          <w:smallCaps w:val="false"/>
          <w:sz w:val="20"/>
        </w:rPr>
        <w:t>Business Combinations (Topic 805) and Consolidation (Topic 810)</w:t>
      </w:r>
      <w:r>
        <w:rPr>
          <w:rFonts w:ascii="Times New Roman;Times;Serif" w:hAnsi="Times New Roman;Times;Serif"/>
          <w:b w:val="false"/>
          <w:i w:val="false"/>
          <w:caps w:val="false"/>
          <w:smallCaps w:val="false"/>
          <w:sz w:val="20"/>
        </w:rPr>
        <w:t>: Determining the Accounting Acquirer in the Acquisition of a Variable Interest Entity, which clarifies how to determine the accounting acquirer in transactions involving variable interest entities. The amendments are effective for fiscal years beginning after December 15, 2026, including interim periods within those fiscal years. Early adoption is permitted. The Company is currently evaluating the impact of ASU 2025-03 on its financial statements and disclosures.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Prepaid Expenses and Other Assets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 consisted of the following (in thousands):</w:t>
      </w:r>
    </w:p>
    <w:p>
      <w:pPr>
        <w:pStyle w:val="TextBody"/>
        <w:bidi w:val="0"/>
        <w:spacing w:before="0" w:after="0"/>
        <w:jc w:val="center"/>
        <w:rPr>
          <w:caps w:val="false"/>
          <w:smallCaps w:val="false"/>
        </w:rPr>
      </w:pPr>
      <w:r>
        <w:rPr>
          <w:caps w:val="false"/>
          <w:smallCaps w:val="false"/>
        </w:rPr>
        <w:t> </w:t>
      </w:r>
    </w:p>
    <w:tbl>
      <w:tblPr>
        <w:tblW w:w="5302" w:type="dxa"/>
        <w:jc w:val="left"/>
        <w:tblInd w:w="0" w:type="dxa"/>
        <w:tblLayout w:type="fixed"/>
        <w:tblCellMar>
          <w:top w:w="0" w:type="dxa"/>
          <w:left w:w="0" w:type="dxa"/>
          <w:bottom w:w="0" w:type="dxa"/>
          <w:right w:w="0" w:type="dxa"/>
        </w:tblCellMar>
      </w:tblPr>
      <w:tblGrid>
        <w:gridCol w:w="3755"/>
        <w:gridCol w:w="60"/>
        <w:gridCol w:w="170"/>
        <w:gridCol w:w="463"/>
        <w:gridCol w:w="73"/>
        <w:gridCol w:w="73"/>
        <w:gridCol w:w="170"/>
        <w:gridCol w:w="463"/>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6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633" w:type="dxa"/>
            <w:gridSpan w:val="2"/>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633"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Prepaid expenses - current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63" w:type="dxa"/>
            <w:tcBorders/>
            <w:shd w:fill="CCEEFF" w:val="clear"/>
            <w:vAlign w:val="center"/>
          </w:tcPr>
          <w:p>
            <w:pPr>
              <w:pStyle w:val="TableContents"/>
              <w:bidi w:val="0"/>
              <w:spacing w:before="0" w:after="283"/>
              <w:jc w:val="right"/>
              <w:rPr/>
            </w:pPr>
            <w:r>
              <w:rPr/>
              <w:t>180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63" w:type="dxa"/>
            <w:tcBorders/>
            <w:shd w:fill="CCEEFF" w:val="clear"/>
            <w:vAlign w:val="center"/>
          </w:tcPr>
          <w:p>
            <w:pPr>
              <w:pStyle w:val="TableContents"/>
              <w:bidi w:val="0"/>
              <w:spacing w:before="0" w:after="283"/>
              <w:jc w:val="right"/>
              <w:rPr/>
            </w:pPr>
            <w:r>
              <w:rPr/>
              <w:t>184</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pPr>
            <w:r>
              <w:rPr/>
              <w:t>228</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Total prepaid expenses and other assets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63" w:type="dxa"/>
            <w:tcBorders>
              <w:bottom w:val="double" w:sz="10" w:space="0" w:color="000000"/>
            </w:tcBorders>
            <w:shd w:fill="CCEEFF" w:val="clear"/>
            <w:tcMar>
              <w:bottom w:w="28" w:type="dxa"/>
            </w:tcMar>
            <w:vAlign w:val="center"/>
          </w:tcPr>
          <w:p>
            <w:pPr>
              <w:pStyle w:val="TableContents"/>
              <w:bidi w:val="0"/>
              <w:spacing w:before="0" w:after="283"/>
              <w:jc w:val="right"/>
              <w:rPr/>
            </w:pPr>
            <w:r>
              <w:rPr/>
              <w:t>180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63" w:type="dxa"/>
            <w:tcBorders>
              <w:bottom w:val="double" w:sz="10" w:space="0" w:color="000000"/>
            </w:tcBorders>
            <w:shd w:fill="CCEEFF" w:val="clear"/>
            <w:tcMar>
              <w:bottom w:w="28" w:type="dxa"/>
            </w:tcMar>
            <w:vAlign w:val="center"/>
          </w:tcPr>
          <w:p>
            <w:pPr>
              <w:pStyle w:val="TableContents"/>
              <w:bidi w:val="0"/>
              <w:spacing w:before="0" w:after="283"/>
              <w:jc w:val="right"/>
              <w:rPr/>
            </w:pPr>
            <w:r>
              <w:rPr/>
              <w:t>412</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Prepaid expenses - long term</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463" w:type="dxa"/>
            <w:tcBorders/>
            <w:shd w:fill="FFFFFF" w:val="cle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463" w:type="dxa"/>
            <w:tcBorders/>
            <w:shd w:fill="FFFFFF" w:val="clear"/>
            <w:vAlign w:val="center"/>
          </w:tcPr>
          <w:p>
            <w:pPr>
              <w:pStyle w:val="TableContents"/>
              <w:bidi w:val="0"/>
              <w:spacing w:before="0" w:after="283"/>
              <w:jc w:val="right"/>
              <w:rPr/>
            </w:pPr>
            <w:r>
              <w:rPr/>
              <w:t>57</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Deferred tax assets - long-term</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pPr>
            <w:r>
              <w:rPr/>
              <w:t>308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pPr>
            <w:r>
              <w:rPr/>
              <w:t>387</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Total other noncurrent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63" w:type="dxa"/>
            <w:tcBorders>
              <w:bottom w:val="double" w:sz="10" w:space="0" w:color="000000"/>
            </w:tcBorders>
            <w:shd w:fill="FFFFFF" w:val="clear"/>
            <w:tcMar>
              <w:bottom w:w="28" w:type="dxa"/>
            </w:tcMar>
            <w:vAlign w:val="center"/>
          </w:tcPr>
          <w:p>
            <w:pPr>
              <w:pStyle w:val="TableContents"/>
              <w:bidi w:val="0"/>
              <w:spacing w:before="0" w:after="283"/>
              <w:jc w:val="right"/>
              <w:rPr/>
            </w:pPr>
            <w:r>
              <w:rPr/>
              <w:t>308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63" w:type="dxa"/>
            <w:tcBorders>
              <w:bottom w:val="double" w:sz="10" w:space="0" w:color="000000"/>
            </w:tcBorders>
            <w:shd w:fill="FFFFFF" w:val="clear"/>
            <w:tcMar>
              <w:bottom w:w="28" w:type="dxa"/>
            </w:tcMar>
            <w:vAlign w:val="center"/>
          </w:tcPr>
          <w:p>
            <w:pPr>
              <w:pStyle w:val="TableContents"/>
              <w:bidi w:val="0"/>
              <w:spacing w:before="0" w:after="283"/>
              <w:jc w:val="right"/>
              <w:rPr/>
            </w:pPr>
            <w:r>
              <w:rPr/>
              <w:t>444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Accrued Expenses and Other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 consisted of the following (in thousands):</w:t>
      </w:r>
    </w:p>
    <w:p>
      <w:pPr>
        <w:pStyle w:val="TextBody"/>
        <w:bidi w:val="0"/>
        <w:spacing w:before="0" w:after="0"/>
        <w:ind w:left="0" w:right="0" w:firstLine="36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5075"/>
        <w:gridCol w:w="60"/>
        <w:gridCol w:w="140"/>
        <w:gridCol w:w="560"/>
        <w:gridCol w:w="60"/>
        <w:gridCol w:w="60"/>
        <w:gridCol w:w="140"/>
        <w:gridCol w:w="560"/>
        <w:gridCol w:w="75"/>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Accrued expenses and other current liabilities:</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Accrued 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1,236</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Accrued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453</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Accrued employee compensation and related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Other current liabilities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1,702</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Long-term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962</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Total other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973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Redeemable Convertible Preferred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their conversion in 2025, the Company had issued and outstanding Series A, Series B and Series B+ redeemable convertible preferred stock. The Series A Preferred Stock was issued in 2017 and 2018 for aggregate gross proceeds of $18.0 million, the Series B Preferred Stock was issued in 2020 for aggregate gross proceeds of $28.0 million and the Series B+ Preferred Stock was issued in 2021 for aggregate gross proceeds of $60.0 million.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redeemable convertible preferred stock consisted of the following (in thousands):</w:t>
      </w:r>
    </w:p>
    <w:p>
      <w:pPr>
        <w:pStyle w:val="TextBody"/>
        <w:bidi w:val="0"/>
        <w:spacing w:before="0" w:after="0"/>
        <w:jc w:val="left"/>
        <w:rPr>
          <w:caps w:val="false"/>
          <w:smallCaps w:val="false"/>
        </w:rPr>
      </w:pPr>
      <w:r>
        <w:rPr>
          <w:caps w:val="false"/>
          <w:smallCaps w:val="false"/>
        </w:rPr>
        <w:t> </w:t>
      </w:r>
    </w:p>
    <w:tbl>
      <w:tblPr>
        <w:tblW w:w="4044" w:type="dxa"/>
        <w:jc w:val="left"/>
        <w:tblInd w:w="0" w:type="dxa"/>
        <w:tblLayout w:type="fixed"/>
        <w:tblCellMar>
          <w:top w:w="0" w:type="dxa"/>
          <w:left w:w="0" w:type="dxa"/>
          <w:bottom w:w="0" w:type="dxa"/>
          <w:right w:w="0" w:type="dxa"/>
        </w:tblCellMar>
      </w:tblPr>
      <w:tblGrid>
        <w:gridCol w:w="2495"/>
        <w:gridCol w:w="60"/>
        <w:gridCol w:w="210"/>
        <w:gridCol w:w="1204"/>
        <w:gridCol w:w="75"/>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28,800</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Series B Preferred Stock</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44,381</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Series B+ Preferred Stock</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88,337</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FFFFFF" w:val="clear"/>
            <w:tcMar>
              <w:bottom w:w="28" w:type="dxa"/>
            </w:tcMar>
            <w:vAlign w:val="center"/>
          </w:tcPr>
          <w:p>
            <w:pPr>
              <w:pStyle w:val="TableContents"/>
              <w:bidi w:val="0"/>
              <w:spacing w:before="0" w:after="283"/>
              <w:jc w:val="right"/>
              <w:rPr/>
            </w:pPr>
            <w:r>
              <w:rPr/>
              <w:t>161,518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Preferred Stock were entitled to be paid non-cumulative dividends if and when declared by the Company’s board of directors. The Company could not have paid any dividends on shares of common stock of the Company unless the holders of the Preferred Stock then outstanding simultaneously received dividends at the same time as dividends paid with respect to any class common stock. Dividends were equal to 8.0% of the price per share per annum, payable only when and if declared by the Company’s board of directors. Through the date of conversion, no cash dividends were declared or paid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Preferred Stock shall have the right to convert, at the option of the holder, at any time, into shares of common stock by dividing the preferred stock original issuance price by the conversion price in effect at the time. The initial Series A Preferred Stock conversion price is $100, the initial Series B Preferred Stock conversion price is $148 and the initial Series B+ Preferred Stock conversion price is $170, subject in each case to certain adjustments to reflect the issuance of common stock, options, warrants, or other rights to subscribe for or to purchase shares of the Company’s common stock for a consideration per share less than the conversion price then in effect. In addition, each share of Series A Preferred Stock, Series B Preferred Stock and Series B+ Preferred Stock will automatically convert into shares of common stock at the applicable conversion ratio in effect upon the earlier of (a) the closing of a Qualified IPO (as defined in the Company’s certificate of incorporation) or (b) the written consent of the Series A Investors holding a majority of the total outstanding Series A Preferred Shares, with respect to the Series A Preferred Shares, the written consent of the Series B Investors holding a majority of the total outstanding Series B Preferred Shares, with respect to the Series B Preferred Shares, or the written consent of the Series B+ Investors holding a majority of the total outstanding Series B+ Preferred Shares, with respect to the Series B+ Preferred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is redeemable at the option of the shareholder. The shares are redeemable at any time and from time to time on or after the fifth (5th) anniversary of the initial closing or upon any other series of Preferred stock becoming redeemable.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and Series B+ Preferred Stock is redeemable upon certain events that are outside of the Company’s control, which include material violation of laws and contracts by any key holders in each case would result in a material adverse effect, failure to conduct the principal business, any fraudulent misconduct by any warrantors, request by any holders of any other series of Preferred Shares for redemption by the Company of any Preferred Shares held by such holder of Preferred Shares, termination of the sponsored research agreement, none of the product developed by the Company has entered into phase II of any clinical trial by a specified date, and the Company has not completed a Qualified Public Offering or a Trade Sale by a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Series A preferred stock is redeemable at the option of the holder at any time after the Optional Redemption Date, and the Series B and B+ preferred stock are redeemable upon the occurrence of events not solely within the Company’s control, including a redemption request by holders of another series. Accordingly, the Preferred Stock is classified outside of stockholders’ deficit and is carried at its redemption amount, equal to the original issue price plus 12% simple interest per annum, at each balance sheet date. Increases in the carrying amount are charged to additional paid-in capital or, in its absence, to accumulated deficit. While all Preferred Stock is automatically converted upon a Qualified Public Offering, the effectiveness of a Qualified Offering is not within the control of the Company and is not deemed probable to occur for accounting purposes until the effective date of the Qualified Offering. As such, the Company continued to recognize accretion of the Preferred Stock during the years ended December 31, 2025 and 2024. The accretion of the Preferred Stock was $7.1 million and $10.6 million for the years ended December 31, 2025 and 2024,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Series A, B, and B+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holders of each respective series of the Preferred Stock provided written consent to convert into shares of common stock at the applicable conversion ratio. On August 31, 2025, all of the Company’s issued and outstanding convertible preferred shares were converted into common stock on a one-for-one basis in accordance with their contractual terms. Upon conversion, the carrying value of the convertible preferred stock, including any accretion, was reclassified from mezzanine equity to common stock and additional paid-in capital. The conversion was accounted for as an equity transaction, and no gain or loss was recognized.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reconciliation of changes in the Preferred Stock (in thousands):</w:t>
      </w:r>
    </w:p>
    <w:p>
      <w:pPr>
        <w:pStyle w:val="TextBody"/>
        <w:bidi w:val="0"/>
        <w:spacing w:before="0" w:after="0"/>
        <w:ind w:left="0" w:right="0" w:firstLine="720"/>
        <w:jc w:val="both"/>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4565"/>
        <w:gridCol w:w="60"/>
        <w:gridCol w:w="140"/>
        <w:gridCol w:w="875"/>
        <w:gridCol w:w="110"/>
      </w:tblGrid>
      <w:tr>
        <w:trPr/>
        <w:tc>
          <w:tcPr>
            <w:tcW w:w="4565"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150,887</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Accretion of carrying value to redemption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10,631</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161,518</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Accretion of carrying value to redemption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7,072</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Conversion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(168,590</w:t>
            </w:r>
          </w:p>
        </w:tc>
        <w:tc>
          <w:tcPr>
            <w:tcW w:w="110" w:type="dxa"/>
            <w:tcBorders/>
            <w:shd w:fill="CCEEFF" w:val="clear"/>
            <w:vAlign w:val="center"/>
          </w:tcPr>
          <w:p>
            <w:pPr>
              <w:pStyle w:val="TableContents"/>
              <w:bidi w:val="0"/>
              <w:spacing w:before="0" w:after="283"/>
              <w:jc w:val="left"/>
              <w:rPr/>
            </w:pPr>
            <w:r>
              <w:rPr/>
              <w:t>)</w:t>
            </w:r>
          </w:p>
        </w:tc>
      </w:tr>
      <w:tr>
        <w:trPr/>
        <w:tc>
          <w:tcPr>
            <w:tcW w:w="4565" w:type="dxa"/>
            <w:tcBorders/>
            <w:shd w:fill="FFFFFF" w:val="clear"/>
            <w:vAlign w:val="center"/>
          </w:tcPr>
          <w:p>
            <w:pPr>
              <w:pStyle w:val="TableContents"/>
              <w:bidi w:val="0"/>
              <w:spacing w:before="0" w:after="283"/>
              <w:jc w:val="left"/>
              <w:rPr/>
            </w:pPr>
            <w:r>
              <w:rPr/>
              <w:t>Balance at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Stock-Based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2017, the Company adopted the 2017 Stock Plan (the “2017 Plan”). The 2017 Plan, as amended, provides for the issuance of up to 147,220 shares of common stock to employees, officers, directors, consultants, and advisors in the form of non-qualified and incentive stock options, unvested stock awards, and other stock-based awards. At December 31, 2025, there were 3,409 shares of common stock available for issuance under the 2017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 option activity under the 2017 Plan: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6"/>
        <w:gridCol w:w="60"/>
        <w:gridCol w:w="60"/>
        <w:gridCol w:w="800"/>
        <w:gridCol w:w="60"/>
        <w:gridCol w:w="60"/>
        <w:gridCol w:w="199"/>
        <w:gridCol w:w="796"/>
        <w:gridCol w:w="60"/>
        <w:gridCol w:w="60"/>
        <w:gridCol w:w="189"/>
        <w:gridCol w:w="1397"/>
        <w:gridCol w:w="60"/>
        <w:gridCol w:w="60"/>
        <w:gridCol w:w="167"/>
        <w:gridCol w:w="1285"/>
        <w:gridCol w:w="76"/>
      </w:tblGrid>
      <w:tr>
        <w:trPr/>
        <w:tc>
          <w:tcPr>
            <w:tcW w:w="48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Stock</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 Life</w:t>
              <w:b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Intrinsic</w:t>
              <w:br/>
              <w:t xml:space="preserve">Value </w:t>
              <w:br/>
              <w:t>(in thousands)</w:t>
            </w:r>
          </w:p>
        </w:tc>
        <w:tc>
          <w:tcPr>
            <w:tcW w:w="76" w:type="dxa"/>
            <w:tcBorders/>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283"/>
              <w:jc w:val="left"/>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27.10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r>
              <w:rPr/>
              <w:t>-</w:t>
            </w:r>
          </w:p>
        </w:tc>
        <w:tc>
          <w:tcPr>
            <w:tcW w:w="7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60,370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96" w:type="dxa"/>
            <w:tcBorders>
              <w:bottom w:val="single" w:sz="12" w:space="0" w:color="000000"/>
            </w:tcBorders>
            <w:shd w:fill="FFFFFF" w:val="clear"/>
            <w:tcMar>
              <w:bottom w:w="28" w:type="dxa"/>
            </w:tcMar>
            <w:vAlign w:val="center"/>
          </w:tcPr>
          <w:p>
            <w:pPr>
              <w:pStyle w:val="TableContents"/>
              <w:bidi w:val="0"/>
              <w:spacing w:before="0" w:after="283"/>
              <w:jc w:val="right"/>
              <w:rPr/>
            </w:pPr>
            <w:r>
              <w:rPr/>
              <w:t>33.00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143,811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shd w:fill="CCEEFF" w:val="clear"/>
            <w:tcMar>
              <w:bottom w:w="28" w:type="dxa"/>
            </w:tcMar>
            <w:vAlign w:val="center"/>
          </w:tcPr>
          <w:p>
            <w:pPr>
              <w:pStyle w:val="TableContents"/>
              <w:bidi w:val="0"/>
              <w:spacing w:before="0" w:after="283"/>
              <w:jc w:val="right"/>
              <w:rPr/>
            </w:pPr>
            <w:r>
              <w:rPr/>
              <w:t>29.58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7" w:type="dxa"/>
            <w:tcBorders>
              <w:bottom w:val="double" w:sz="10" w:space="0" w:color="000000"/>
            </w:tcBorders>
            <w:shd w:fill="CCEEFF" w:val="clear"/>
            <w:tcMar>
              <w:bottom w:w="28" w:type="dxa"/>
            </w:tcMar>
            <w:vAlign w:val="center"/>
          </w:tcPr>
          <w:p>
            <w:pPr>
              <w:pStyle w:val="TableContents"/>
              <w:bidi w:val="0"/>
              <w:spacing w:before="0" w:after="283"/>
              <w:jc w:val="right"/>
              <w:rPr/>
            </w:pPr>
            <w:r>
              <w:rPr/>
              <w:t>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283"/>
              <w:jc w:val="left"/>
              <w:rPr/>
            </w:pPr>
            <w:r>
              <w:rPr/>
              <w:t>Stock options unvested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6,577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shd w:fill="FFFFFF" w:val="clear"/>
            <w:tcMar>
              <w:bottom w:w="28" w:type="dxa"/>
            </w:tcMar>
            <w:vAlign w:val="center"/>
          </w:tcPr>
          <w:p>
            <w:pPr>
              <w:pStyle w:val="TableContents"/>
              <w:bidi w:val="0"/>
              <w:spacing w:before="0" w:after="283"/>
              <w:jc w:val="right"/>
              <w:rPr/>
            </w:pPr>
            <w:r>
              <w:rPr/>
              <w:t>33.00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7" w:type="dxa"/>
            <w:tcBorders>
              <w:bottom w:val="double" w:sz="10" w:space="0" w:color="000000"/>
            </w:tcBorders>
            <w:shd w:fill="FFFFFF" w:val="clear"/>
            <w:tcMar>
              <w:bottom w:w="28" w:type="dxa"/>
            </w:tcMar>
            <w:vAlign w:val="center"/>
          </w:tcPr>
          <w:p>
            <w:pPr>
              <w:pStyle w:val="TableContents"/>
              <w:bidi w:val="0"/>
              <w:spacing w:before="0" w:after="283"/>
              <w:jc w:val="right"/>
              <w:rPr/>
            </w:pPr>
            <w:r>
              <w:rPr/>
              <w:t>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283"/>
              <w:jc w:val="left"/>
              <w:rPr/>
            </w:pPr>
            <w:r>
              <w:rPr/>
              <w:t>Stock options exercisable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137,234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shd w:fill="CCEEFF" w:val="clear"/>
            <w:tcMar>
              <w:bottom w:w="28" w:type="dxa"/>
            </w:tcMar>
            <w:vAlign w:val="center"/>
          </w:tcPr>
          <w:p>
            <w:pPr>
              <w:pStyle w:val="TableContents"/>
              <w:bidi w:val="0"/>
              <w:spacing w:before="0" w:after="283"/>
              <w:jc w:val="right"/>
              <w:rPr/>
            </w:pPr>
            <w:r>
              <w:rPr/>
              <w:t>29.42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7" w:type="dxa"/>
            <w:tcBorders>
              <w:bottom w:val="double" w:sz="10" w:space="0" w:color="000000"/>
            </w:tcBorders>
            <w:shd w:fill="CCEEFF" w:val="clear"/>
            <w:tcMar>
              <w:bottom w:w="28" w:type="dxa"/>
            </w:tcMar>
            <w:vAlign w:val="center"/>
          </w:tcPr>
          <w:p>
            <w:pPr>
              <w:pStyle w:val="TableContents"/>
              <w:bidi w:val="0"/>
              <w:spacing w:before="0" w:after="283"/>
              <w:jc w:val="right"/>
              <w:rPr/>
            </w:pPr>
            <w:r>
              <w:rPr/>
              <w:t>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 date calculated fair value of stock options granted for the years ended on December 31, 2025 was determined to be nominal. There was $38 thousand of unrecognized stock-based compensation expense related to unvested stock options as of December 31, 2025, which will be recognized over a weighted-average period of 0.7 years. The total fair value of options vested during the year ended December 31, 2025 was $0.1 million and $0.3 million for the years ended December 31,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granted 60,370 and 0 options, respectively. There were no options exercised during the years ended December 31, 2025 and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allocation of stock-based compensation expense related to the Company’s stock-based awards (in thousands):</w:t>
      </w:r>
    </w:p>
    <w:p>
      <w:pPr>
        <w:pStyle w:val="TextBody"/>
        <w:bidi w:val="0"/>
        <w:spacing w:before="0" w:after="0"/>
        <w:ind w:left="0" w:right="0" w:firstLine="720"/>
        <w:jc w:val="both"/>
        <w:rPr>
          <w:caps w:val="false"/>
          <w:smallCaps w:val="false"/>
        </w:rPr>
      </w:pPr>
      <w:r>
        <w:rPr>
          <w:caps w:val="false"/>
          <w:smallCaps w:val="false"/>
        </w:rPr>
        <w:t> </w:t>
      </w:r>
    </w:p>
    <w:tbl>
      <w:tblPr>
        <w:tblW w:w="5858" w:type="dxa"/>
        <w:jc w:val="left"/>
        <w:tblInd w:w="0" w:type="dxa"/>
        <w:tblLayout w:type="fixed"/>
        <w:tblCellMar>
          <w:top w:w="0" w:type="dxa"/>
          <w:left w:w="0" w:type="dxa"/>
          <w:bottom w:w="0" w:type="dxa"/>
          <w:right w:w="0" w:type="dxa"/>
        </w:tblCellMar>
      </w:tblPr>
      <w:tblGrid>
        <w:gridCol w:w="3065"/>
        <w:gridCol w:w="60"/>
        <w:gridCol w:w="321"/>
        <w:gridCol w:w="871"/>
        <w:gridCol w:w="137"/>
        <w:gridCol w:w="137"/>
        <w:gridCol w:w="321"/>
        <w:gridCol w:w="871"/>
        <w:gridCol w:w="75"/>
      </w:tblGrid>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center"/>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871" w:type="dxa"/>
            <w:tcBorders/>
            <w:shd w:fill="CCEEFF" w:val="clear"/>
            <w:vAlign w:val="center"/>
          </w:tcPr>
          <w:p>
            <w:pPr>
              <w:pStyle w:val="TableContents"/>
              <w:bidi w:val="0"/>
              <w:spacing w:before="0" w:after="283"/>
              <w:jc w:val="right"/>
              <w:rPr/>
            </w:pPr>
            <w:r>
              <w:rPr/>
              <w:t>93</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871" w:type="dxa"/>
            <w:tcBorders/>
            <w:shd w:fill="CCEEFF" w:val="clear"/>
            <w:vAlign w:val="center"/>
          </w:tcPr>
          <w:p>
            <w:pPr>
              <w:pStyle w:val="TableContents"/>
              <w:bidi w:val="0"/>
              <w:spacing w:before="0" w:after="283"/>
              <w:jc w:val="right"/>
              <w:rPr/>
            </w:pPr>
            <w:r>
              <w:rPr/>
              <w:t>180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3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63</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Total stock-based compensation</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1"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1" w:type="dxa"/>
            <w:tcBorders>
              <w:bottom w:val="double" w:sz="10" w:space="0" w:color="000000"/>
            </w:tcBorders>
            <w:shd w:fill="CCEEFF" w:val="clear"/>
            <w:tcMar>
              <w:bottom w:w="28" w:type="dxa"/>
            </w:tcMar>
            <w:vAlign w:val="center"/>
          </w:tcPr>
          <w:p>
            <w:pPr>
              <w:pStyle w:val="TableContents"/>
              <w:bidi w:val="0"/>
              <w:spacing w:before="0" w:after="283"/>
              <w:jc w:val="right"/>
              <w:rPr/>
            </w:pPr>
            <w:r>
              <w:rPr/>
              <w:t>243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valuation assumptions used in determining the fair value of employee stock options:</w:t>
      </w:r>
    </w:p>
    <w:p>
      <w:pPr>
        <w:pStyle w:val="TextBody"/>
        <w:bidi w:val="0"/>
        <w:spacing w:before="0" w:after="0"/>
        <w:ind w:left="0" w:right="0" w:firstLine="540"/>
        <w:jc w:val="both"/>
        <w:rPr>
          <w:caps w:val="false"/>
          <w:smallCaps w:val="false"/>
        </w:rPr>
      </w:pPr>
      <w:r>
        <w:rPr>
          <w:caps w:val="false"/>
          <w:smallCaps w:val="false"/>
        </w:rPr>
        <w:t> </w:t>
      </w:r>
    </w:p>
    <w:tbl>
      <w:tblPr>
        <w:tblW w:w="6344" w:type="dxa"/>
        <w:jc w:val="left"/>
        <w:tblInd w:w="0" w:type="dxa"/>
        <w:tblLayout w:type="fixed"/>
        <w:tblCellMar>
          <w:top w:w="0" w:type="dxa"/>
          <w:left w:w="0" w:type="dxa"/>
          <w:bottom w:w="0" w:type="dxa"/>
          <w:right w:w="0" w:type="dxa"/>
        </w:tblCellMar>
      </w:tblPr>
      <w:tblGrid>
        <w:gridCol w:w="4580"/>
        <w:gridCol w:w="60"/>
        <w:gridCol w:w="67"/>
        <w:gridCol w:w="1407"/>
        <w:gridCol w:w="230"/>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 xml:space="preserve">December 31, </w:t>
              <w:br/>
              <w:t>2025</w:t>
            </w:r>
          </w:p>
        </w:tc>
        <w:tc>
          <w:tcPr>
            <w:tcW w:w="23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pPr>
            <w:r>
              <w:rPr/>
              <w:t>4.10</w:t>
            </w:r>
          </w:p>
        </w:tc>
        <w:tc>
          <w:tcPr>
            <w:tcW w:w="230" w:type="dxa"/>
            <w:tcBorders/>
            <w:shd w:fill="CCEEFF" w:val="clear"/>
            <w:vAlign w:val="center"/>
          </w:tcPr>
          <w:p>
            <w:pPr>
              <w:pStyle w:val="TableContents"/>
              <w:bidi w:val="0"/>
              <w:spacing w:before="0" w:after="283"/>
              <w:jc w:val="left"/>
              <w:rPr/>
            </w:pPr>
            <w:r>
              <w:rPr/>
              <w:t>%</w:t>
            </w:r>
          </w:p>
        </w:tc>
      </w:tr>
      <w:tr>
        <w:trPr/>
        <w:tc>
          <w:tcPr>
            <w:tcW w:w="4580"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pPr>
            <w:r>
              <w:rPr/>
              <w:t>5.1 - 5.2</w:t>
            </w:r>
          </w:p>
        </w:tc>
        <w:tc>
          <w:tcPr>
            <w:tcW w:w="23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7"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30" w:type="dxa"/>
            <w:tcBorders/>
            <w:shd w:fill="CCEEFF" w:val="clear"/>
            <w:vAlign w:val="center"/>
          </w:tcPr>
          <w:p>
            <w:pPr>
              <w:pStyle w:val="TableContents"/>
              <w:bidi w:val="0"/>
              <w:spacing w:before="0" w:after="283"/>
              <w:jc w:val="left"/>
              <w:rPr/>
            </w:pPr>
            <w:r>
              <w:rPr/>
              <w:t>%</w:t>
            </w:r>
          </w:p>
        </w:tc>
      </w:tr>
      <w:tr>
        <w:trPr/>
        <w:tc>
          <w:tcPr>
            <w:tcW w:w="4580" w:type="dxa"/>
            <w:tcBorders/>
            <w:shd w:fill="FFFFFF" w:val="clear"/>
            <w:vAlign w:val="center"/>
          </w:tcPr>
          <w:p>
            <w:pPr>
              <w:pStyle w:val="TableContents"/>
              <w:bidi w:val="0"/>
              <w:spacing w:before="0" w:after="283"/>
              <w:jc w:val="left"/>
              <w:rPr/>
            </w:pPr>
            <w:r>
              <w:rPr/>
              <w:t>Expected volatility of underlying common stock</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pPr>
            <w:r>
              <w:rPr/>
              <w:t>87.3% - 87.7</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Income Taxes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income from operations before taxes consisted of amounts related to operations and income associated with the Company’s foreign operations. The geographical breakdown of the components of income (loss) before income taxes are as follows (in thousands):</w:t>
      </w:r>
    </w:p>
    <w:p>
      <w:pPr>
        <w:pStyle w:val="TextBody"/>
        <w:bidi w:val="0"/>
        <w:spacing w:before="0" w:after="0"/>
        <w:ind w:left="0" w:right="0" w:firstLine="720"/>
        <w:jc w:val="both"/>
        <w:rPr>
          <w:caps w:val="false"/>
          <w:smallCaps w:val="false"/>
        </w:rPr>
      </w:pPr>
      <w:r>
        <w:rPr>
          <w:caps w:val="false"/>
          <w:smallCaps w:val="false"/>
        </w:rPr>
        <w:t> </w:t>
      </w:r>
    </w:p>
    <w:tbl>
      <w:tblPr>
        <w:tblW w:w="6912" w:type="dxa"/>
        <w:jc w:val="left"/>
        <w:tblInd w:w="0" w:type="dxa"/>
        <w:tblLayout w:type="fixed"/>
        <w:tblCellMar>
          <w:top w:w="0" w:type="dxa"/>
          <w:left w:w="0" w:type="dxa"/>
          <w:bottom w:w="0" w:type="dxa"/>
          <w:right w:w="0" w:type="dxa"/>
        </w:tblCellMar>
      </w:tblPr>
      <w:tblGrid>
        <w:gridCol w:w="4025"/>
        <w:gridCol w:w="60"/>
        <w:gridCol w:w="222"/>
        <w:gridCol w:w="1012"/>
        <w:gridCol w:w="151"/>
        <w:gridCol w:w="95"/>
        <w:gridCol w:w="222"/>
        <w:gridCol w:w="1015"/>
        <w:gridCol w:w="11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(3,681</w:t>
            </w:r>
          </w:p>
        </w:tc>
        <w:tc>
          <w:tcPr>
            <w:tcW w:w="151"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(3,099</w:t>
            </w:r>
          </w:p>
        </w:tc>
        <w:tc>
          <w:tcPr>
            <w:tcW w:w="110" w:type="dxa"/>
            <w:tcBorders/>
            <w:shd w:fill="CCEEFF" w:val="clear"/>
            <w:vAlign w:val="center"/>
          </w:tcPr>
          <w:p>
            <w:pPr>
              <w:pStyle w:val="TableContents"/>
              <w:bidi w:val="0"/>
              <w:spacing w:before="0" w:after="283"/>
              <w:jc w:val="left"/>
              <w:rPr/>
            </w:pPr>
            <w:r>
              <w:rPr/>
              <w:t>)</w:t>
            </w:r>
          </w:p>
        </w:tc>
      </w:tr>
      <w:tr>
        <w:trPr/>
        <w:tc>
          <w:tcPr>
            <w:tcW w:w="4025" w:type="dxa"/>
            <w:tcBorders/>
            <w:shd w:fill="FFFFFF" w:val="clear"/>
            <w:vAlign w:val="center"/>
          </w:tcPr>
          <w:p>
            <w:pPr>
              <w:pStyle w:val="TableContents"/>
              <w:bidi w:val="0"/>
              <w:spacing w:before="0" w:after="283"/>
              <w:jc w:val="left"/>
              <w:rPr/>
            </w:pPr>
            <w:r>
              <w:rPr/>
              <w:t>International</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(432</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(1,603</w:t>
            </w:r>
          </w:p>
        </w:tc>
        <w:tc>
          <w:tcPr>
            <w:tcW w:w="110" w:type="dxa"/>
            <w:tcBorders/>
            <w:shd w:fill="FFFFFF" w:val="clear"/>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left"/>
              <w:rPr/>
            </w:pPr>
            <w:r>
              <w:rPr/>
              <w:t>Net 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2" w:type="dxa"/>
            <w:tcBorders>
              <w:bottom w:val="double" w:sz="10" w:space="0" w:color="000000"/>
            </w:tcBorders>
            <w:shd w:fill="CCEEFF" w:val="clear"/>
            <w:tcMar>
              <w:bottom w:w="28" w:type="dxa"/>
            </w:tcMar>
            <w:vAlign w:val="center"/>
          </w:tcPr>
          <w:p>
            <w:pPr>
              <w:pStyle w:val="TableContents"/>
              <w:bidi w:val="0"/>
              <w:spacing w:before="0" w:after="283"/>
              <w:jc w:val="right"/>
              <w:rPr/>
            </w:pPr>
            <w:r>
              <w:rPr/>
              <w:t>(4,113</w:t>
            </w:r>
          </w:p>
        </w:tc>
        <w:tc>
          <w:tcPr>
            <w:tcW w:w="151"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(4,702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provided for the tax effects of transactions reported in the financial statements and consist of taxes currently due. Deferred taxes relate to differences between the basis of assets and liabilities for financial and income tax reporting which will be either taxable or deductible when the assets or liabilities are recovered or settled.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consisted of the following (in thousands):</w:t>
      </w:r>
    </w:p>
    <w:p>
      <w:pPr>
        <w:pStyle w:val="TextBody"/>
        <w:bidi w:val="0"/>
        <w:spacing w:before="0" w:after="0"/>
        <w:jc w:val="left"/>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3095"/>
        <w:gridCol w:w="60"/>
        <w:gridCol w:w="328"/>
        <w:gridCol w:w="890"/>
        <w:gridCol w:w="140"/>
        <w:gridCol w:w="140"/>
        <w:gridCol w:w="328"/>
        <w:gridCol w:w="892"/>
        <w:gridCol w:w="11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Current expense (benefit):</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Cayman Islands</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United States Federal</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5</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United States - State and Local</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Other Foreign</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171</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Total current expense</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179</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161</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Deferred expense (benefit):</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Cayman Islands</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United States Federal</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70</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w:t>
            </w:r>
          </w:p>
        </w:tc>
      </w:tr>
      <w:tr>
        <w:trPr/>
        <w:tc>
          <w:tcPr>
            <w:tcW w:w="3095" w:type="dxa"/>
            <w:tcBorders/>
            <w:shd w:fill="FFFFFF" w:val="clear"/>
            <w:vAlign w:val="center"/>
          </w:tcPr>
          <w:p>
            <w:pPr>
              <w:pStyle w:val="TableContents"/>
              <w:bidi w:val="0"/>
              <w:spacing w:before="0" w:after="283"/>
              <w:jc w:val="left"/>
              <w:rPr/>
            </w:pPr>
            <w:r>
              <w:rPr/>
              <w:t>United States - State and Local</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9</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jc w:val="left"/>
              <w:rPr/>
            </w:pPr>
            <w:r>
              <w:rPr/>
              <w:t>)</w:t>
            </w:r>
          </w:p>
        </w:tc>
      </w:tr>
      <w:tr>
        <w:trPr/>
        <w:tc>
          <w:tcPr>
            <w:tcW w:w="3095" w:type="dxa"/>
            <w:tcBorders/>
            <w:shd w:fill="CCEEFF" w:val="clear"/>
            <w:vAlign w:val="center"/>
          </w:tcPr>
          <w:p>
            <w:pPr>
              <w:pStyle w:val="TableContents"/>
              <w:bidi w:val="0"/>
              <w:spacing w:before="0" w:after="283"/>
              <w:jc w:val="left"/>
              <w:rPr/>
            </w:pPr>
            <w:r>
              <w:rPr/>
              <w:t>Other Foreign</w:t>
            </w:r>
          </w:p>
        </w:tc>
        <w:tc>
          <w:tcPr>
            <w:tcW w:w="6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Total deferred expense (benefit)</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79</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p>
        </w:tc>
      </w:tr>
      <w:tr>
        <w:trPr/>
        <w:tc>
          <w:tcPr>
            <w:tcW w:w="30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Total provision for income taxes</w:t>
            </w:r>
          </w:p>
        </w:tc>
        <w:tc>
          <w:tcPr>
            <w:tcW w:w="60" w:type="dxa"/>
            <w:tcBorders/>
            <w:shd w:fill="FFFFFF" w:val="clear"/>
            <w:vAlign w:val="center"/>
          </w:tcPr>
          <w:p>
            <w:pPr>
              <w:pStyle w:val="TableContents"/>
              <w:bidi w:val="0"/>
              <w:spacing w:before="0" w:after="283"/>
              <w:jc w:val="left"/>
              <w:rPr/>
            </w:pPr>
            <w:r>
              <w:rPr/>
              <w:t> </w:t>
            </w:r>
          </w:p>
        </w:tc>
        <w:tc>
          <w:tcPr>
            <w:tcW w:w="32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258</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2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the United States at the federal and state levels, as well as in various foreign jurisdictions, including Australia, Hong Kong, and the People’s Republic of China. The Company’s Cayman Islands parent entity is generally not subject to income taxes under Cayman Islands law. As of December 31, 2025 the Company was not subject to any significant income tax examinations by taxing authorities. The statute of limitations generally remains open for three years for U.S. federal and most state income tax returns, subject to certain exceptions, and varies by foreign jurisdiction in accordance with applicable local tax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an effective tax rate of (6)% and (2)% for the years ended December 31,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the Company early adopted ASU 2023-09 on retrospective basis. A reconciliation of the U.S. federal statutory income tax rate to the Company’s effective tax rate pursuant to the disclosure requirements of ASU 2023-09 is as follows (in thousands, except for percentages):</w:t>
      </w:r>
    </w:p>
    <w:p>
      <w:pPr>
        <w:pStyle w:val="TextBody"/>
        <w:bidi w:val="0"/>
        <w:spacing w:before="0" w:after="0"/>
        <w:ind w:left="0" w:right="0" w:firstLine="720"/>
        <w:jc w:val="both"/>
        <w:rPr>
          <w:caps w:val="false"/>
          <w:smallCaps w:val="false"/>
        </w:rPr>
      </w:pPr>
      <w:r>
        <w:rPr>
          <w:caps w:val="false"/>
          <w:smallCaps w:val="false"/>
        </w:rPr>
        <w:t> </w:t>
      </w:r>
    </w:p>
    <w:tbl>
      <w:tblPr>
        <w:tblW w:w="6472" w:type="dxa"/>
        <w:jc w:val="left"/>
        <w:tblInd w:w="0" w:type="dxa"/>
        <w:tblLayout w:type="fixed"/>
        <w:tblCellMar>
          <w:top w:w="0" w:type="dxa"/>
          <w:left w:w="0" w:type="dxa"/>
          <w:bottom w:w="0" w:type="dxa"/>
          <w:right w:w="0" w:type="dxa"/>
        </w:tblCellMar>
      </w:tblPr>
      <w:tblGrid>
        <w:gridCol w:w="3395"/>
        <w:gridCol w:w="60"/>
        <w:gridCol w:w="160"/>
        <w:gridCol w:w="522"/>
        <w:gridCol w:w="108"/>
        <w:gridCol w:w="68"/>
        <w:gridCol w:w="68"/>
        <w:gridCol w:w="246"/>
        <w:gridCol w:w="291"/>
        <w:gridCol w:w="68"/>
        <w:gridCol w:w="160"/>
        <w:gridCol w:w="522"/>
        <w:gridCol w:w="108"/>
        <w:gridCol w:w="68"/>
        <w:gridCol w:w="68"/>
        <w:gridCol w:w="255"/>
        <w:gridCol w:w="30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30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0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Cayman statutory income tax rate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Foreign Tax Effects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United States Income Tax</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Foreign Rate Differential</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80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(2</w:t>
            </w:r>
          </w:p>
        </w:tc>
        <w:tc>
          <w:tcPr>
            <w:tcW w:w="291"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(2</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0</w:t>
            </w:r>
          </w:p>
        </w:tc>
        <w:tc>
          <w:tcPr>
            <w:tcW w:w="305"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pPr>
            <w:r>
              <w:rPr/>
              <w:t>Other Perms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(5</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0</w:t>
            </w:r>
          </w:p>
        </w:tc>
        <w:tc>
          <w:tcPr>
            <w:tcW w:w="291"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(7</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0</w:t>
            </w:r>
          </w:p>
        </w:tc>
        <w:tc>
          <w:tcPr>
            <w:tcW w:w="305"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Uncertain Tax Positions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(41</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1</w:t>
            </w:r>
          </w:p>
        </w:tc>
        <w:tc>
          <w:tcPr>
            <w:tcW w:w="305"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pPr>
            <w:r>
              <w:rPr/>
              <w:t>US State Income Tax*</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12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(0</w:t>
            </w:r>
          </w:p>
        </w:tc>
        <w:tc>
          <w:tcPr>
            <w:tcW w:w="291"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(0</w:t>
            </w:r>
          </w:p>
        </w:tc>
        <w:tc>
          <w:tcPr>
            <w:tcW w:w="305"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Australia</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w:t>
            </w:r>
          </w:p>
        </w:tc>
        <w:tc>
          <w:tcPr>
            <w:tcW w:w="2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Foreign Rate Differential</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(47</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1</w:t>
            </w:r>
          </w:p>
        </w:tc>
        <w:tc>
          <w:tcPr>
            <w:tcW w:w="291"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(46</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1</w:t>
            </w:r>
          </w:p>
        </w:tc>
        <w:tc>
          <w:tcPr>
            <w:tcW w:w="305"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47</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(1</w:t>
            </w:r>
          </w:p>
        </w:tc>
        <w:tc>
          <w:tcPr>
            <w:tcW w:w="291"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70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(1</w:t>
            </w:r>
          </w:p>
        </w:tc>
        <w:tc>
          <w:tcPr>
            <w:tcW w:w="305"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pPr>
            <w:r>
              <w:rPr/>
              <w:t>R&amp;D Tax Credit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(23</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0</w:t>
            </w:r>
          </w:p>
        </w:tc>
        <w:tc>
          <w:tcPr>
            <w:tcW w:w="305"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Withholding Taxes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14</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(0</w:t>
            </w:r>
          </w:p>
        </w:tc>
        <w:tc>
          <w:tcPr>
            <w:tcW w:w="291"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20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(0</w:t>
            </w:r>
          </w:p>
        </w:tc>
        <w:tc>
          <w:tcPr>
            <w:tcW w:w="305"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pPr>
            <w:r>
              <w:rPr/>
              <w:t>Shanghai</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Foreign Rate Differential</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(3</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0</w:t>
            </w:r>
          </w:p>
        </w:tc>
        <w:tc>
          <w:tcPr>
            <w:tcW w:w="291"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(16</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0</w:t>
            </w:r>
          </w:p>
        </w:tc>
        <w:tc>
          <w:tcPr>
            <w:tcW w:w="305"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3</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(0</w:t>
            </w:r>
          </w:p>
        </w:tc>
        <w:tc>
          <w:tcPr>
            <w:tcW w:w="291"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15</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(0</w:t>
            </w:r>
          </w:p>
        </w:tc>
        <w:tc>
          <w:tcPr>
            <w:tcW w:w="305"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Other Perms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w:t>
            </w:r>
          </w:p>
        </w:tc>
        <w:tc>
          <w:tcPr>
            <w:tcW w:w="2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(0</w:t>
            </w:r>
          </w:p>
        </w:tc>
        <w:tc>
          <w:tcPr>
            <w:tcW w:w="305"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pPr>
            <w:r>
              <w:rPr/>
              <w:t>Suzhou</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Foreign Rate Differential</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(148</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4</w:t>
            </w:r>
          </w:p>
        </w:tc>
        <w:tc>
          <w:tcPr>
            <w:tcW w:w="291"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(275</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6</w:t>
            </w:r>
          </w:p>
        </w:tc>
        <w:tc>
          <w:tcPr>
            <w:tcW w:w="305"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pPr>
            <w:r>
              <w:rPr/>
              <w:t>Uncertain Tax Positions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305</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(8</w:t>
            </w:r>
          </w:p>
        </w:tc>
        <w:tc>
          <w:tcPr>
            <w:tcW w:w="291"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403</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(9</w:t>
            </w:r>
          </w:p>
        </w:tc>
        <w:tc>
          <w:tcPr>
            <w:tcW w:w="305"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Other Perms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(0</w:t>
            </w:r>
          </w:p>
        </w:tc>
        <w:tc>
          <w:tcPr>
            <w:tcW w:w="291"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(0</w:t>
            </w:r>
          </w:p>
        </w:tc>
        <w:tc>
          <w:tcPr>
            <w:tcW w:w="305"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Foreign Rate Differential</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(1</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0</w:t>
            </w:r>
          </w:p>
        </w:tc>
        <w:tc>
          <w:tcPr>
            <w:tcW w:w="291"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(2</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0</w:t>
            </w:r>
          </w:p>
        </w:tc>
        <w:tc>
          <w:tcPr>
            <w:tcW w:w="305"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1</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right"/>
              <w:rPr/>
            </w:pPr>
            <w:r>
              <w:rPr/>
              <w:t>(0</w:t>
            </w:r>
          </w:p>
        </w:tc>
        <w:tc>
          <w:tcPr>
            <w:tcW w:w="291"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right"/>
              <w:rPr/>
            </w:pPr>
            <w:r>
              <w:rPr/>
              <w:t>(0</w:t>
            </w:r>
          </w:p>
        </w:tc>
        <w:tc>
          <w:tcPr>
            <w:tcW w:w="305"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Tax from other foreign jurisdictions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2" w:type="dxa"/>
            <w:tcBorders>
              <w:bottom w:val="double" w:sz="10" w:space="0" w:color="000000"/>
            </w:tcBorders>
            <w:shd w:fill="CCEEFF" w:val="clear"/>
            <w:tcMar>
              <w:bottom w:w="28" w:type="dxa"/>
            </w:tcMar>
            <w:vAlign w:val="center"/>
          </w:tcPr>
          <w:p>
            <w:pPr>
              <w:pStyle w:val="TableContents"/>
              <w:bidi w:val="0"/>
              <w:spacing w:before="0" w:after="283"/>
              <w:jc w:val="right"/>
              <w:rPr/>
            </w:pPr>
            <w:r>
              <w:rPr/>
              <w:t>258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right"/>
              <w:rPr/>
            </w:pPr>
            <w:r>
              <w:rPr/>
              <w:t>(6</w:t>
            </w:r>
          </w:p>
        </w:tc>
        <w:tc>
          <w:tcPr>
            <w:tcW w:w="291"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2"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right"/>
              <w:rPr/>
            </w:pPr>
            <w:r>
              <w:rPr/>
              <w:t>(2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55"/>
        <w:gridCol w:w="6080"/>
      </w:tblGrid>
      <w:tr>
        <w:trPr/>
        <w:tc>
          <w:tcPr>
            <w:tcW w:w="155"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pPr>
            <w:r>
              <w:rPr/>
              <w:t>Massachusetts makes up more than 50% of the state income tax.</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income taxes, net of refunds received, by jurisdiction pursuant to the disclosure requirements of ASU 2023-09 is as follows (in thousands):</w:t>
      </w:r>
    </w:p>
    <w:p>
      <w:pPr>
        <w:pStyle w:val="TextBody"/>
        <w:bidi w:val="0"/>
        <w:spacing w:before="0" w:after="0"/>
        <w:ind w:left="0" w:right="0" w:firstLine="720"/>
        <w:jc w:val="both"/>
        <w:rPr>
          <w:caps w:val="false"/>
          <w:smallCaps w:val="false"/>
        </w:rPr>
      </w:pPr>
      <w:r>
        <w:rPr>
          <w:caps w:val="false"/>
          <w:smallCaps w:val="false"/>
        </w:rPr>
        <w:t> </w:t>
      </w:r>
    </w:p>
    <w:tbl>
      <w:tblPr>
        <w:tblW w:w="7767" w:type="dxa"/>
        <w:jc w:val="left"/>
        <w:tblInd w:w="0" w:type="dxa"/>
        <w:tblLayout w:type="fixed"/>
        <w:tblCellMar>
          <w:top w:w="0" w:type="dxa"/>
          <w:left w:w="0" w:type="dxa"/>
          <w:bottom w:w="0" w:type="dxa"/>
          <w:right w:w="0" w:type="dxa"/>
        </w:tblCellMar>
      </w:tblPr>
      <w:tblGrid>
        <w:gridCol w:w="4880"/>
        <w:gridCol w:w="60"/>
        <w:gridCol w:w="368"/>
        <w:gridCol w:w="884"/>
        <w:gridCol w:w="250"/>
        <w:gridCol w:w="157"/>
        <w:gridCol w:w="368"/>
        <w:gridCol w:w="690"/>
        <w:gridCol w:w="110"/>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5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Cayman statutory income tax</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w:t>
            </w:r>
          </w:p>
        </w:tc>
        <w:tc>
          <w:tcPr>
            <w:tcW w:w="25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69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United States Income Taxes</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36</w:t>
            </w:r>
          </w:p>
        </w:tc>
        <w:tc>
          <w:tcPr>
            <w:tcW w:w="25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57</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United States - State Income Tax</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Connecticut</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(15</w:t>
            </w:r>
          </w:p>
        </w:tc>
        <w:tc>
          <w:tcPr>
            <w:tcW w:w="250" w:type="dxa"/>
            <w:tcBorders/>
            <w:shd w:fill="FFFFFF" w:val="clear"/>
            <w:vAlign w:val="center"/>
          </w:tcPr>
          <w:p>
            <w:pPr>
              <w:pStyle w:val="TableContents"/>
              <w:bidi w:val="0"/>
              <w:spacing w:before="0" w:after="283"/>
              <w:jc w:val="left"/>
              <w:rPr/>
            </w:pPr>
            <w:r>
              <w:rPr/>
              <w:t>)</w:t>
            </w:r>
          </w:p>
        </w:tc>
        <w:tc>
          <w:tcPr>
            <w:tcW w:w="157"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Other states</w:t>
            </w:r>
          </w:p>
        </w:tc>
        <w:tc>
          <w:tcPr>
            <w:tcW w:w="60" w:type="dxa"/>
            <w:tcBorders/>
            <w:shd w:fill="CCEEFF" w:val="clear"/>
            <w:vAlign w:val="center"/>
          </w:tcPr>
          <w:p>
            <w:pPr>
              <w:pStyle w:val="TableContents"/>
              <w:bidi w:val="0"/>
              <w:spacing w:before="0" w:after="283"/>
              <w:jc w:val="left"/>
              <w:rPr/>
            </w:pPr>
            <w:r>
              <w:rPr/>
              <w:t> </w:t>
            </w:r>
          </w:p>
        </w:tc>
        <w:tc>
          <w:tcPr>
            <w:tcW w:w="3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25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3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p>
        </w:tc>
      </w:tr>
      <w:tr>
        <w:trPr/>
        <w:tc>
          <w:tcPr>
            <w:tcW w:w="4880" w:type="dxa"/>
            <w:tcBorders/>
            <w:shd w:fill="FFFFFF" w:val="clear"/>
            <w:vAlign w:val="center"/>
          </w:tcPr>
          <w:p>
            <w:pPr>
              <w:pStyle w:val="TableContents"/>
              <w:bidi w:val="0"/>
              <w:spacing w:before="0" w:after="283"/>
              <w:jc w:val="left"/>
              <w:rPr/>
            </w:pPr>
            <w:r>
              <w:rPr/>
              <w:t>Cash paid for income taxes, net of refunds received</w:t>
            </w:r>
          </w:p>
        </w:tc>
        <w:tc>
          <w:tcPr>
            <w:tcW w:w="60" w:type="dxa"/>
            <w:tcBorders/>
            <w:shd w:fill="FFFFFF" w:val="clear"/>
            <w:vAlign w:val="center"/>
          </w:tcPr>
          <w:p>
            <w:pPr>
              <w:pStyle w:val="TableContents"/>
              <w:bidi w:val="0"/>
              <w:spacing w:before="0" w:after="283"/>
              <w:jc w:val="left"/>
              <w:rPr/>
            </w:pPr>
            <w:r>
              <w:rPr/>
              <w:t> </w:t>
            </w:r>
          </w:p>
        </w:tc>
        <w:tc>
          <w:tcPr>
            <w:tcW w:w="36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pPr>
            <w:r>
              <w:rPr/>
              <w:t>25</w:t>
            </w:r>
          </w:p>
        </w:tc>
        <w:tc>
          <w:tcPr>
            <w:tcW w:w="25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36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90" w:type="dxa"/>
            <w:tcBorders>
              <w:bottom w:val="double" w:sz="10" w:space="0" w:color="000000"/>
            </w:tcBorders>
            <w:shd w:fill="FFFFFF" w:val="clear"/>
            <w:tcMar>
              <w:bottom w:w="28" w:type="dxa"/>
            </w:tcMar>
            <w:vAlign w:val="center"/>
          </w:tcPr>
          <w:p>
            <w:pPr>
              <w:pStyle w:val="TableContents"/>
              <w:bidi w:val="0"/>
              <w:spacing w:before="0" w:after="283"/>
              <w:jc w:val="right"/>
              <w:rPr/>
            </w:pPr>
            <w:r>
              <w:rPr/>
              <w:t>79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effects of temporary differences that gave rise to significant portions of deferred tax assets and liabilities (in thousands):</w:t>
      </w:r>
    </w:p>
    <w:p>
      <w:pPr>
        <w:pStyle w:val="TextBody"/>
        <w:bidi w:val="0"/>
        <w:spacing w:before="0" w:after="0"/>
        <w:ind w:left="0" w:right="0" w:firstLine="720"/>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3455"/>
        <w:gridCol w:w="60"/>
        <w:gridCol w:w="140"/>
        <w:gridCol w:w="560"/>
        <w:gridCol w:w="95"/>
        <w:gridCol w:w="60"/>
        <w:gridCol w:w="140"/>
        <w:gridCol w:w="560"/>
        <w:gridCol w:w="11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Net operating loss carryforward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816</w:t>
            </w:r>
          </w:p>
        </w:tc>
        <w:tc>
          <w:tcPr>
            <w:tcW w:w="11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Legal cost and Patents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213</w:t>
            </w:r>
          </w:p>
        </w:tc>
        <w:tc>
          <w:tcPr>
            <w:tcW w:w="11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Unrealized Gain/Loss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175</w:t>
            </w:r>
          </w:p>
        </w:tc>
        <w:tc>
          <w:tcPr>
            <w:tcW w:w="11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1,204</w:t>
            </w:r>
          </w:p>
        </w:tc>
        <w:tc>
          <w:tcPr>
            <w:tcW w:w="11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(816</w:t>
            </w:r>
          </w:p>
        </w:tc>
        <w:tc>
          <w:tcPr>
            <w:tcW w:w="110" w:type="dxa"/>
            <w:tcBorders/>
            <w:shd w:fill="CCEEFF" w:val="clear"/>
            <w:vAlign w:val="center"/>
          </w:tcPr>
          <w:p>
            <w:pPr>
              <w:pStyle w:val="TableContents"/>
              <w:bidi w:val="0"/>
              <w:spacing w:before="0" w:after="283"/>
              <w:jc w:val="left"/>
              <w:rPr/>
            </w:pPr>
            <w:r>
              <w:rPr/>
              <w:t>)</w:t>
            </w:r>
          </w:p>
        </w:tc>
      </w:tr>
      <w:tr>
        <w:trPr/>
        <w:tc>
          <w:tcPr>
            <w:tcW w:w="3455"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388</w:t>
            </w:r>
          </w:p>
        </w:tc>
        <w:tc>
          <w:tcPr>
            <w:tcW w:w="11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w:t>
            </w:r>
          </w:p>
        </w:tc>
      </w:tr>
      <w:tr>
        <w:trPr/>
        <w:tc>
          <w:tcPr>
            <w:tcW w:w="3455"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p>
        </w:tc>
      </w:tr>
      <w:tr>
        <w:trPr/>
        <w:tc>
          <w:tcPr>
            <w:tcW w:w="3455"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387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approximately $3.8 million of Australian federal net operating loss (“NOL”) carryforwards available to use that have an indefinite lived carryforward.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realization of deferred tax assets, management considers whether it is more likely than not that some portion or all the deferred income tax assets will not be realized. The ultimate realization of deferred income tax assets is dependent upon the generation of future taxable income during the periods in which those temporary differences become deductible. Management considers the scheduled reversal of deferred income tax liabilities, projected future taxable income, and tax planning strategies in making this assessment. After consideration of all available evidence, both positive and negative, management believes it is more likely than not that the Company’s deferred tax assets in its Australia, Hong Kong, and Shanghai operations will not be realized, and therefore continues to maintain a full valuation allowance as of December 31, 2025 and 2024 in these jurisdictions. The change in valuation allowances for the years ended December 31, 2025 and 2024 was approximately $0.1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on undistributed earnings of the Company’s subsidiaries have not been provided for because the Company currently plans to indefinitely reinvest all undistributed foreign earnings and has the ability to do so. At this time, determination of the unrecognized deferred tax liabilities for temporary differences related to the investments in the Company’s subsidiaries is not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enacted in the U.S. The OBBBA includes significant provisions, such as the permanent extension of certain expiring provisions of the Tax Cuts and Jobs Act, modification to the international tax framework and the restoration of favorable tax treatment for certain business provisions. The legislation has multiple effective dates, with certain provisions effective in 2025 and other implemented through 2027. The bill does not materially impact the Company’s 2025 income tax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tax returns in China, Australia, Hong Kong, and the US. With a few exceptions, the Company is subject to tax examinations by tax authorities for years ended December 31, 2022 through December 31, 2025. As of December 31, 2025 and 2024, the Company had liabilities for uncertain tax positions of $10.9 million and $10.4 million, respectively, which, if recognized, would affect the Company’s tax provision and effective tax rate. The Company does not believe there would be any material changes to its uncertain tax position liabilities within the next 12 months. The Company’s policy is to record interest and penalties related to income taxes as part of its income tax provision. As of December 31, 2025 and 2024, the liability for interest and penalties was $0.5 million and $0.4 million, respectively. During each of the years ended December 31, 2025 and 2024, the Company recognized tax (benefit) expense of $0.1 million for interest and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beginning and ending amount of the Company’s unrecognized tax benefits is as follows (in thousands):</w:t>
      </w:r>
    </w:p>
    <w:p>
      <w:pPr>
        <w:pStyle w:val="TextBody"/>
        <w:bidi w:val="0"/>
        <w:spacing w:before="0" w:after="0"/>
        <w:ind w:left="0" w:right="0" w:firstLine="720"/>
        <w:jc w:val="both"/>
        <w:rPr>
          <w:caps w:val="false"/>
          <w:smallCaps w:val="false"/>
        </w:rPr>
      </w:pPr>
      <w:r>
        <w:rPr>
          <w:caps w:val="false"/>
          <w:smallCaps w:val="false"/>
        </w:rPr>
        <w:t> </w:t>
      </w:r>
    </w:p>
    <w:tbl>
      <w:tblPr>
        <w:tblW w:w="8323" w:type="dxa"/>
        <w:jc w:val="left"/>
        <w:tblInd w:w="0" w:type="dxa"/>
        <w:tblLayout w:type="fixed"/>
        <w:tblCellMar>
          <w:top w:w="0" w:type="dxa"/>
          <w:left w:w="0" w:type="dxa"/>
          <w:bottom w:w="0" w:type="dxa"/>
          <w:right w:w="0" w:type="dxa"/>
        </w:tblCellMar>
      </w:tblPr>
      <w:tblGrid>
        <w:gridCol w:w="5435"/>
        <w:gridCol w:w="60"/>
        <w:gridCol w:w="215"/>
        <w:gridCol w:w="1050"/>
        <w:gridCol w:w="92"/>
        <w:gridCol w:w="92"/>
        <w:gridCol w:w="215"/>
        <w:gridCol w:w="1054"/>
        <w:gridCol w:w="110"/>
      </w:tblGrid>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Unrecognized tax benefits as of the beginning of the year</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10,445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jc w:val="right"/>
              <w:rPr/>
            </w:pPr>
            <w:r>
              <w:rPr/>
              <w:t>10,495</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Increases (decreases) related to prior year tax positions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465</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(318</w:t>
            </w:r>
          </w:p>
        </w:tc>
        <w:tc>
          <w:tcPr>
            <w:tcW w:w="110" w:type="dxa"/>
            <w:tcBorders/>
            <w:shd w:fill="FFFFFF" w:val="clear"/>
            <w:vAlign w:val="center"/>
          </w:tcPr>
          <w:p>
            <w:pPr>
              <w:pStyle w:val="TableContents"/>
              <w:bidi w:val="0"/>
              <w:spacing w:before="0" w:after="283"/>
              <w:jc w:val="left"/>
              <w:rPr/>
            </w:pPr>
            <w:r>
              <w:rPr/>
              <w:t>)</w:t>
            </w:r>
          </w:p>
        </w:tc>
      </w:tr>
      <w:tr>
        <w:trPr/>
        <w:tc>
          <w:tcPr>
            <w:tcW w:w="5435" w:type="dxa"/>
            <w:tcBorders/>
            <w:shd w:fill="CCEEFF" w:val="clear"/>
            <w:vAlign w:val="center"/>
          </w:tcPr>
          <w:p>
            <w:pPr>
              <w:pStyle w:val="TableContents"/>
              <w:bidi w:val="0"/>
              <w:spacing w:before="0" w:after="283"/>
              <w:jc w:val="left"/>
              <w:rPr/>
            </w:pPr>
            <w:r>
              <w:rPr/>
              <w:t>Increases (decreases) related to current year tax positions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24</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309</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Decreases related to lapses of statute of limitations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left"/>
              <w:rPr/>
            </w:pPr>
            <w:r>
              <w:rPr/>
              <w:t>)</w:t>
            </w:r>
          </w:p>
        </w:tc>
      </w:tr>
      <w:tr>
        <w:trPr/>
        <w:tc>
          <w:tcPr>
            <w:tcW w:w="543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0" w:type="dxa"/>
            <w:tcBorders>
              <w:bottom w:val="double" w:sz="10" w:space="0" w:color="000000"/>
            </w:tcBorders>
            <w:shd w:fill="CCEEFF" w:val="clear"/>
            <w:tcMar>
              <w:bottom w:w="28" w:type="dxa"/>
            </w:tcMar>
            <w:vAlign w:val="center"/>
          </w:tcPr>
          <w:p>
            <w:pPr>
              <w:pStyle w:val="TableContents"/>
              <w:bidi w:val="0"/>
              <w:spacing w:before="0" w:after="283"/>
              <w:jc w:val="right"/>
              <w:rPr/>
            </w:pPr>
            <w:r>
              <w:rPr/>
              <w:t>10,934</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4" w:type="dxa"/>
            <w:tcBorders>
              <w:bottom w:val="double" w:sz="10" w:space="0" w:color="000000"/>
            </w:tcBorders>
            <w:shd w:fill="CCEEFF" w:val="clear"/>
            <w:tcMar>
              <w:bottom w:w="28" w:type="dxa"/>
            </w:tcMar>
            <w:vAlign w:val="center"/>
          </w:tcPr>
          <w:p>
            <w:pPr>
              <w:pStyle w:val="TableContents"/>
              <w:bidi w:val="0"/>
              <w:spacing w:before="0" w:after="283"/>
              <w:jc w:val="right"/>
              <w:rPr/>
            </w:pPr>
            <w:r>
              <w:rPr/>
              <w:t>10,445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recorded approximately $10.9 million of unrecognized tax benefits, a net increase of $0.5 million from $10.4 million as of December 31,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offices under various non-cancelable leases that expire at various dates. Under certain leases, the Company is responsible for expenses related to operations, maintenance, repairs, and management fees that are accounted for as operating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for the years ended December 31, 2025 and 2024 totaled $31 thousand and $36 thousand,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leases for its equipment and specialized spaces for company equipment have terms expiring at various dates through April 2027. Certain lease arrangements include renewal options and rights of first refusal for the lessee to purchase the applicable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and lease liabilities for operating leases were recorded in the consolidated balance sheets as follows (in thousands):</w:t>
      </w:r>
    </w:p>
    <w:p>
      <w:pPr>
        <w:pStyle w:val="TextBody"/>
        <w:bidi w:val="0"/>
        <w:spacing w:before="0" w:after="0"/>
        <w:jc w:val="both"/>
        <w:rPr>
          <w:caps w:val="false"/>
          <w:smallCaps w:val="false"/>
        </w:rPr>
      </w:pPr>
      <w:r>
        <w:rPr>
          <w:caps w:val="false"/>
          <w:smallCaps w:val="false"/>
        </w:rPr>
        <w:t> </w:t>
      </w:r>
    </w:p>
    <w:tbl>
      <w:tblPr>
        <w:tblW w:w="6067" w:type="dxa"/>
        <w:jc w:val="left"/>
        <w:tblInd w:w="0" w:type="dxa"/>
        <w:tblLayout w:type="fixed"/>
        <w:tblCellMar>
          <w:top w:w="0" w:type="dxa"/>
          <w:left w:w="0" w:type="dxa"/>
          <w:bottom w:w="0" w:type="dxa"/>
          <w:right w:w="0" w:type="dxa"/>
        </w:tblCellMar>
      </w:tblPr>
      <w:tblGrid>
        <w:gridCol w:w="4520"/>
        <w:gridCol w:w="60"/>
        <w:gridCol w:w="214"/>
        <w:gridCol w:w="399"/>
        <w:gridCol w:w="91"/>
        <w:gridCol w:w="91"/>
        <w:gridCol w:w="214"/>
        <w:gridCol w:w="403"/>
        <w:gridCol w:w="75"/>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b/>
              </w:rPr>
            </w:pPr>
            <w:r>
              <w:rPr>
                <w:b/>
              </w:rPr>
              <w:t>Operating leases:</w:t>
            </w:r>
          </w:p>
        </w:tc>
        <w:tc>
          <w:tcPr>
            <w:tcW w:w="60" w:type="dxa"/>
            <w:tcBorders/>
            <w:vAlign w:val="center"/>
          </w:tcPr>
          <w:p>
            <w:pPr>
              <w:pStyle w:val="TableContents"/>
              <w:bidi w:val="0"/>
              <w:spacing w:before="0" w:after="283"/>
              <w:jc w:val="left"/>
              <w:rPr/>
            </w:pPr>
            <w:r>
              <w:rPr/>
              <w:t> </w:t>
            </w:r>
          </w:p>
        </w:tc>
        <w:tc>
          <w:tcPr>
            <w:tcW w:w="613" w:type="dxa"/>
            <w:gridSpan w:val="2"/>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1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399" w:type="dxa"/>
            <w:tcBorders/>
            <w:shd w:fill="CCEEFF" w:val="clear"/>
            <w:vAlign w:val="center"/>
          </w:tcPr>
          <w:p>
            <w:pPr>
              <w:pStyle w:val="TableContents"/>
              <w:bidi w:val="0"/>
              <w:spacing w:before="0" w:after="283"/>
              <w:jc w:val="right"/>
              <w:rPr/>
            </w:pPr>
            <w:r>
              <w:rPr/>
              <w:t>38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403" w:type="dxa"/>
            <w:tcBorders/>
            <w:shd w:fill="CCEEFF" w:val="clear"/>
            <w:vAlign w:val="center"/>
          </w:tcPr>
          <w:p>
            <w:pPr>
              <w:pStyle w:val="TableContents"/>
              <w:bidi w:val="0"/>
              <w:spacing w:before="0" w:after="283"/>
              <w:jc w:val="right"/>
              <w:rPr/>
            </w:pPr>
            <w:r>
              <w:rPr/>
              <w:t>60</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Lease liabilities - current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399" w:type="dxa"/>
            <w:tcBorders/>
            <w:shd w:fill="FFFFFF" w:val="clear"/>
            <w:vAlign w:val="center"/>
          </w:tcPr>
          <w:p>
            <w:pPr>
              <w:pStyle w:val="TableContents"/>
              <w:bidi w:val="0"/>
              <w:spacing w:before="0" w:after="283"/>
              <w:jc w:val="right"/>
              <w:rPr/>
            </w:pPr>
            <w:r>
              <w:rPr/>
              <w:t>31</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403" w:type="dxa"/>
            <w:tcBorders/>
            <w:shd w:fill="FFFFFF" w:val="clear"/>
            <w:vAlign w:val="center"/>
          </w:tcPr>
          <w:p>
            <w:pPr>
              <w:pStyle w:val="TableContents"/>
              <w:bidi w:val="0"/>
              <w:spacing w:before="0" w:after="283"/>
              <w:jc w:val="right"/>
              <w:rPr/>
            </w:pPr>
            <w:r>
              <w:rPr/>
              <w:t>26</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399" w:type="dxa"/>
            <w:tcBorders/>
            <w:shd w:fill="CCEEFF" w:val="clear"/>
            <w:vAlign w:val="center"/>
          </w:tcPr>
          <w:p>
            <w:pPr>
              <w:pStyle w:val="TableContents"/>
              <w:bidi w:val="0"/>
              <w:spacing w:before="0" w:after="283"/>
              <w:jc w:val="right"/>
              <w:rPr/>
            </w:pPr>
            <w:r>
              <w:rPr/>
              <w:t>11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403" w:type="dxa"/>
            <w:tcBorders/>
            <w:shd w:fill="CCEEFF" w:val="clear"/>
            <w:vAlign w:val="center"/>
          </w:tcPr>
          <w:p>
            <w:pPr>
              <w:pStyle w:val="TableContents"/>
              <w:bidi w:val="0"/>
              <w:spacing w:before="0" w:after="283"/>
              <w:jc w:val="right"/>
              <w:rPr/>
            </w:pPr>
            <w:r>
              <w:rPr/>
              <w:t>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remaining lease term for operating leases was 1.3 years and 2.3 years as of December 31, 2025 and 2024, respectively. The weighted-average discount rate was 12.58% as of December 31,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was as follows (in thousands):</w:t>
      </w:r>
    </w:p>
    <w:p>
      <w:pPr>
        <w:pStyle w:val="TextBody"/>
        <w:bidi w:val="0"/>
        <w:spacing w:before="0" w:after="0"/>
        <w:ind w:left="0" w:right="0" w:firstLine="720"/>
        <w:jc w:val="both"/>
        <w:rPr>
          <w:caps w:val="false"/>
          <w:smallCaps w:val="false"/>
        </w:rPr>
      </w:pPr>
      <w:r>
        <w:rPr>
          <w:caps w:val="false"/>
          <w:smallCaps w:val="false"/>
        </w:rPr>
        <w:t> </w:t>
      </w:r>
    </w:p>
    <w:tbl>
      <w:tblPr>
        <w:tblW w:w="8632" w:type="dxa"/>
        <w:jc w:val="left"/>
        <w:tblInd w:w="0" w:type="dxa"/>
        <w:tblLayout w:type="fixed"/>
        <w:tblCellMar>
          <w:top w:w="0" w:type="dxa"/>
          <w:left w:w="0" w:type="dxa"/>
          <w:bottom w:w="0" w:type="dxa"/>
          <w:right w:w="0" w:type="dxa"/>
        </w:tblCellMar>
      </w:tblPr>
      <w:tblGrid>
        <w:gridCol w:w="7085"/>
        <w:gridCol w:w="60"/>
        <w:gridCol w:w="214"/>
        <w:gridCol w:w="399"/>
        <w:gridCol w:w="91"/>
        <w:gridCol w:w="91"/>
        <w:gridCol w:w="214"/>
        <w:gridCol w:w="403"/>
        <w:gridCol w:w="75"/>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7085" w:type="dxa"/>
            <w:tcBorders>
              <w:bottom w:val="single" w:sz="12" w:space="0" w:color="000000"/>
            </w:tcBorders>
            <w:tcMar>
              <w:bottom w:w="28" w:type="dxa"/>
            </w:tcMar>
            <w:vAlign w:val="center"/>
          </w:tcPr>
          <w:p>
            <w:pPr>
              <w:pStyle w:val="TableContents"/>
              <w:bidi w:val="0"/>
              <w:spacing w:before="0" w:after="283"/>
              <w:jc w:val="left"/>
              <w:rPr>
                <w:b/>
              </w:rPr>
            </w:pPr>
            <w:r>
              <w:rPr>
                <w:b/>
              </w:rPr>
              <w:t>Cash paid for amounts included in the measurement of lease liabilities</w:t>
            </w:r>
          </w:p>
        </w:tc>
        <w:tc>
          <w:tcPr>
            <w:tcW w:w="60" w:type="dxa"/>
            <w:tcBorders/>
            <w:vAlign w:val="center"/>
          </w:tcPr>
          <w:p>
            <w:pPr>
              <w:pStyle w:val="TableContents"/>
              <w:bidi w:val="0"/>
              <w:spacing w:before="0" w:after="283"/>
              <w:jc w:val="left"/>
              <w:rPr/>
            </w:pPr>
            <w:r>
              <w:rPr/>
              <w:t> </w:t>
            </w:r>
          </w:p>
        </w:tc>
        <w:tc>
          <w:tcPr>
            <w:tcW w:w="6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Operating cash flows from operating leases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99" w:type="dxa"/>
            <w:tcBorders>
              <w:bottom w:val="double" w:sz="10" w:space="0" w:color="000000"/>
            </w:tcBorders>
            <w:shd w:fill="CCEEFF" w:val="clear"/>
            <w:tcMar>
              <w:bottom w:w="28" w:type="dxa"/>
            </w:tcMar>
            <w:vAlign w:val="center"/>
          </w:tcPr>
          <w:p>
            <w:pPr>
              <w:pStyle w:val="TableContents"/>
              <w:bidi w:val="0"/>
              <w:spacing w:before="0" w:after="283"/>
              <w:jc w:val="right"/>
              <w:rPr/>
            </w:pPr>
            <w:r>
              <w:rPr/>
              <w:t>35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03" w:type="dxa"/>
            <w:tcBorders>
              <w:bottom w:val="double" w:sz="10" w:space="0" w:color="000000"/>
            </w:tcBorders>
            <w:shd w:fill="CCEEFF" w:val="clear"/>
            <w:tcMar>
              <w:bottom w:w="28" w:type="dxa"/>
            </w:tcM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non-cancelable operating leases are as follows (in thousands):</w:t>
      </w:r>
    </w:p>
    <w:p>
      <w:pPr>
        <w:pStyle w:val="TextBody"/>
        <w:bidi w:val="0"/>
        <w:spacing w:before="0" w:after="0"/>
        <w:ind w:left="0" w:right="0" w:firstLine="720"/>
        <w:jc w:val="both"/>
        <w:rPr>
          <w:caps w:val="false"/>
          <w:smallCaps w:val="false"/>
        </w:rPr>
      </w:pPr>
      <w:r>
        <w:rPr>
          <w:caps w:val="false"/>
          <w:smallCaps w:val="false"/>
        </w:rPr>
        <w:t> </w:t>
      </w:r>
    </w:p>
    <w:tbl>
      <w:tblPr>
        <w:tblW w:w="5240" w:type="dxa"/>
        <w:jc w:val="left"/>
        <w:tblInd w:w="0" w:type="dxa"/>
        <w:tblLayout w:type="fixed"/>
        <w:tblCellMar>
          <w:top w:w="0" w:type="dxa"/>
          <w:left w:w="0" w:type="dxa"/>
          <w:bottom w:w="28" w:type="dxa"/>
          <w:right w:w="0" w:type="dxa"/>
        </w:tblCellMar>
      </w:tblPr>
      <w:tblGrid>
        <w:gridCol w:w="4670"/>
        <w:gridCol w:w="60"/>
        <w:gridCol w:w="140"/>
        <w:gridCol w:w="260"/>
        <w:gridCol w:w="110"/>
      </w:tblGrid>
      <w:tr>
        <w:trPr/>
        <w:tc>
          <w:tcPr>
            <w:tcW w:w="4670" w:type="dxa"/>
            <w:tcBorders>
              <w:bottom w:val="single" w:sz="12" w:space="0" w:color="000000"/>
            </w:tcBorders>
            <w:vAlign w:val="center"/>
          </w:tcPr>
          <w:p>
            <w:pPr>
              <w:pStyle w:val="TableContents"/>
              <w:bidi w:val="0"/>
              <w:spacing w:before="0" w:after="283"/>
              <w:jc w:val="left"/>
              <w:rPr>
                <w:b/>
              </w:rPr>
            </w:pPr>
            <w:r>
              <w:rPr>
                <w:b/>
              </w:rPr>
              <w:t>Year Ending December 31,</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400" w:type="dxa"/>
            <w:gridSpan w:val="2"/>
            <w:tcBorders>
              <w:bottom w:val="single" w:sz="12" w:space="0" w:color="000000"/>
            </w:tcBorders>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260" w:type="dxa"/>
            <w:tcBorders>
              <w:bottom w:val="single" w:sz="12" w:space="0" w:color="000000"/>
            </w:tcBorders>
            <w:shd w:fill="FFFFFF" w:val="clear"/>
            <w:vAlign w:val="center"/>
          </w:tcPr>
          <w:p>
            <w:pPr>
              <w:pStyle w:val="TableContents"/>
              <w:bidi w:val="0"/>
              <w:spacing w:before="0" w:after="283"/>
              <w:jc w:val="right"/>
              <w:rPr/>
            </w:pPr>
            <w:r>
              <w:rPr/>
              <w:t>11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283"/>
              <w:jc w:val="left"/>
              <w:rPr/>
            </w:pPr>
            <w:r>
              <w:rPr/>
              <w:t>Total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260" w:type="dxa"/>
            <w:tcBorders>
              <w:bottom w:val="single" w:sz="12" w:space="0" w:color="000000"/>
            </w:tcBorders>
            <w:shd w:fill="CCEEFF" w:val="clear"/>
            <w:vAlign w:val="center"/>
          </w:tcPr>
          <w:p>
            <w:pPr>
              <w:pStyle w:val="TableContents"/>
              <w:bidi w:val="0"/>
              <w:spacing w:before="0" w:after="283"/>
              <w:jc w:val="right"/>
              <w:rPr/>
            </w:pPr>
            <w:r>
              <w:rPr/>
              <w:t>46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shd w:fill="FFFFFF" w:val="clear"/>
            <w:tcMar>
              <w:bottom w:w="0" w:type="dxa"/>
            </w:tcMar>
            <w:vAlign w:val="center"/>
          </w:tcPr>
          <w:p>
            <w:pPr>
              <w:pStyle w:val="TableContents"/>
              <w:bidi w:val="0"/>
              <w:spacing w:before="0" w:after="283"/>
              <w:jc w:val="left"/>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260" w:type="dxa"/>
            <w:tcBorders>
              <w:bottom w:val="single" w:sz="12" w:space="0" w:color="000000"/>
            </w:tcBorders>
            <w:shd w:fill="FFFFFF" w:val="clear"/>
            <w:vAlign w:val="center"/>
          </w:tcPr>
          <w:p>
            <w:pPr>
              <w:pStyle w:val="TableContents"/>
              <w:bidi w:val="0"/>
              <w:spacing w:before="0" w:after="283"/>
              <w:jc w:val="right"/>
              <w:rPr/>
            </w:pPr>
            <w:r>
              <w:rPr/>
              <w:t>(4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670" w:type="dxa"/>
            <w:tcBorders/>
            <w:shd w:fill="CCEEFF" w:val="clear"/>
            <w:tcMar>
              <w:bottom w:w="0" w:type="dxa"/>
            </w:tcMar>
            <w:vAlign w:val="center"/>
          </w:tcPr>
          <w:p>
            <w:pPr>
              <w:pStyle w:val="TableContents"/>
              <w:bidi w:val="0"/>
              <w:spacing w:before="0" w:after="283"/>
              <w:jc w:val="left"/>
              <w:rPr/>
            </w:pPr>
            <w:r>
              <w:rPr/>
              <w:t>Total future minimum operating lease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260" w:type="dxa"/>
            <w:tcBorders>
              <w:bottom w:val="double" w:sz="10" w:space="0" w:color="000000"/>
            </w:tcBorders>
            <w:shd w:fill="CCEEFF" w:val="clear"/>
            <w:vAlign w:val="center"/>
          </w:tcPr>
          <w:p>
            <w:pPr>
              <w:pStyle w:val="TableContents"/>
              <w:bidi w:val="0"/>
              <w:spacing w:before="0" w:after="283"/>
              <w:jc w:val="right"/>
              <w:rPr/>
            </w:pPr>
            <w:r>
              <w:rPr/>
              <w:t>42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Promissory note payable - related party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entered into a secured senior promissory note (the “Promissory Note”) with Mach5 Therapeutics, Inc. (“Mach 5”), a related party, pursuant to which the Company borrowed $200 thousand. The Promissory Note bears interest at 5% per annum and was originally scheduled to mature on December 31, 2025. The Promissory Note is secured by substantially all assets of the Company and is senior to all other indebtedness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Company and Mach5 Therapeutics, Inc. amended and restated the Promissory Note to increase the outstanding principal balance by $400 thousand, resulting in total borrowings of $600 thousand. The amended Promissory Note bears interest at 5% per annum and matures on January 15, 2026. Under the terms of the note, if the contemplated acquisition of Mach5 Therapeutics, Inc. by the Company or one of its affiliates is consummated, the outstanding principal balance, accrued interest, and other amounts due under the Promissory Note will be deemed paid in full at the closing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outstanding principal balance under the Promissory Note was $600 thousand. Because the Promissory Note matures within one year of the balance sheet date, the entire balance was classified as a current liability. Interest expense recognized related to the Promissory Note was approximately $1 thousand for the year ended December 31, 2025, and accrued interest payable was approximately $1 thousand as of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Retirement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initiated a defined contribution plan under Section 401(k) of the IRC (the “Plan”) covering all qualified employees effective in 2020. Employee contributions are voluntary and are determined on an individual basis subject to the maximum allowable under federal tax regulations. The Company expensed $8 thousand and $45 thousand of made matching contributions to the Plan for the year ended December 31,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2025, the Company entered into a Secured Promissory Note (the “Note”) with Kira KMF Team LLC, a related party, pursuant to which the lender agreed to provide borrowings of up to $0.3 million. The Note bears interest at a rate of 5% per annum. The Note also contains a contingent interest provision whereby the aggregate interest payable on the Note increases from the stated annual interest rate of 5% to an amount equal to 15% of the then-outstanding principal balance upon the occurrence of a transaction as defined within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contains several settlement provisions, including (i) automatic repayment immediately prior to the occurrence of a transaction (as defined within the Note), (ii) an automatic conversion feature pursuant to which the principal balance and accrued interest convert into ordinary shares representing 95% of the Company’s fully diluted equity if the transaction is not completed by August 31, 2025 and the Note is not otherwise repaid, and (iii) customary acceleration provisions upon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embedded features within the Note pursuant to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redemption feature upon the occurrence of a transaction (as defined within the Note), automatic conversion feature in the event the transaction is not completed by August 31, 2025, and additional contingent interest feature upon the occurrence of the transaction were determined to be not clearly and closely related to the Note and were determined to require bifurcation as embedded features. Due to these embedded features within the Note, the Company elected to account for the Note and all their embedded features at fair value at inception. As a result of electing the fair value option, direct costs and fees related to the Note were expensed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issuance date of July 1, 2025, the fair value of the Note was $3.7 million, which exceeded the proceeds of $0.3 million, the Company recorded a loss of $3.4 million for the excess fair value over the proceeds in the consolidated statements of operations and comprehensive loss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Note was determined using the probability-weighted expected return method. At issuance, the valuation incorporated significant unobservable inputs, including a 9.7% probability of completion of the transaction, an 87.3% probability of conversion, a 3.0% probability of default, and a discount rate of 16.9%. The estimated equity value of the Company was $4.4 million as of July 1, 2025 and August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2025, the transaction was not consummated and conversion of the Note became certain and the Company remeasured the Note using a 100% probability of conversion. The outstanding principal balance together with accrued interest was converted into a total of 16,229,226 ordinary shares, representing 95% of the Company’s fully diluted equity, giving control of the Company to Kira KMF Team LLC. The resulting increase in fair value was recognized in earnings as a change in fair value of the convertible note. Management concluded that the conversion did not result in a substantive change in control because the transaction occurred among related parties. Based on the board resolution as of July 1, 2025, the Company’s authorized shares were increased to 17,500,000. Accordingly, the Company recognized all 16,229,226 ordinary shares as issued. Therefore, upon conversion, the carrying value of the Note and related accrued interest were reclassified to stockholders’ equity. As of August 31, 2025, the fair value of the Note was determined to be $4.2 million. Accordingly, the Company recorded an additional loss of $0.5 million for the change in fair value of the Note from July 1, 2025 to August 31, 2025 in the consolidated statements of operations and comprehensive loss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activity related to the Note as of and for the year ended December 31, 2025:</w:t>
      </w:r>
    </w:p>
    <w:p>
      <w:pPr>
        <w:pStyle w:val="TextBody"/>
        <w:bidi w:val="0"/>
        <w:spacing w:before="0" w:after="0"/>
        <w:ind w:left="0" w:right="0" w:firstLine="720"/>
        <w:jc w:val="both"/>
        <w:rPr>
          <w:caps w:val="false"/>
          <w:smallCaps w:val="false"/>
        </w:rPr>
      </w:pPr>
      <w:r>
        <w:rPr>
          <w:caps w:val="false"/>
          <w:smallCaps w:val="false"/>
        </w:rPr>
        <w:t> </w:t>
      </w:r>
    </w:p>
    <w:tbl>
      <w:tblPr>
        <w:tblW w:w="7205" w:type="dxa"/>
        <w:jc w:val="left"/>
        <w:tblInd w:w="0" w:type="dxa"/>
        <w:tblLayout w:type="fixed"/>
        <w:tblCellMar>
          <w:top w:w="0" w:type="dxa"/>
          <w:left w:w="0" w:type="dxa"/>
          <w:bottom w:w="0" w:type="dxa"/>
          <w:right w:w="0" w:type="dxa"/>
        </w:tblCellMar>
      </w:tblPr>
      <w:tblGrid>
        <w:gridCol w:w="6260"/>
        <w:gridCol w:w="60"/>
        <w:gridCol w:w="140"/>
        <w:gridCol w:w="635"/>
        <w:gridCol w:w="110"/>
      </w:tblGrid>
      <w:tr>
        <w:trPr/>
        <w:tc>
          <w:tcPr>
            <w:tcW w:w="6260" w:type="dxa"/>
            <w:tcBorders/>
            <w:shd w:fill="CCEEFF" w:val="clear"/>
            <w:vAlign w:val="center"/>
          </w:tcPr>
          <w:p>
            <w:pPr>
              <w:pStyle w:val="TableContents"/>
              <w:bidi w:val="0"/>
              <w:spacing w:before="0" w:after="283"/>
              <w:jc w:val="left"/>
              <w:rPr/>
            </w:pPr>
            <w:r>
              <w:rPr/>
              <w:t>Balance,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both"/>
              <w:rPr/>
            </w:pPr>
            <w:r>
              <w:rPr/>
              <w:t>Convertible promissory note – related party issuances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3,698</w:t>
            </w:r>
          </w:p>
        </w:tc>
        <w:tc>
          <w:tcPr>
            <w:tcW w:w="11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both"/>
              <w:rPr/>
            </w:pPr>
            <w:r>
              <w:rPr/>
              <w:t>Change in fair value of convertible promissory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506</w:t>
            </w:r>
          </w:p>
        </w:tc>
        <w:tc>
          <w:tcPr>
            <w:tcW w:w="11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both"/>
              <w:rPr/>
            </w:pPr>
            <w:r>
              <w:rPr/>
              <w:t>Conversion to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(4,204</w:t>
            </w:r>
          </w:p>
        </w:tc>
        <w:tc>
          <w:tcPr>
            <w:tcW w:w="110" w:type="dxa"/>
            <w:tcBorders/>
            <w:shd w:fill="FFFFFF" w:val="clear"/>
            <w:vAlign w:val="center"/>
          </w:tcPr>
          <w:p>
            <w:pPr>
              <w:pStyle w:val="TableContents"/>
              <w:bidi w:val="0"/>
              <w:spacing w:before="0" w:after="283"/>
              <w:jc w:val="left"/>
              <w:rPr/>
            </w:pPr>
            <w:r>
              <w:rPr/>
              <w:t>)</w:t>
            </w:r>
          </w:p>
        </w:tc>
      </w:tr>
      <w:tr>
        <w:trPr/>
        <w:tc>
          <w:tcPr>
            <w:tcW w:w="6260" w:type="dxa"/>
            <w:tcBorders/>
            <w:shd w:fill="CCEEFF" w:val="clear"/>
            <w:vAlign w:val="center"/>
          </w:tcPr>
          <w:p>
            <w:pPr>
              <w:pStyle w:val="TableContents"/>
              <w:bidi w:val="0"/>
              <w:spacing w:before="0" w:after="283"/>
              <w:jc w:val="both"/>
              <w:rPr/>
            </w:pPr>
            <w:r>
              <w:rPr/>
              <w:t>Balance,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convertible promissory note – related party totaled $2.1 thousand for the year ended December 31, 2025. Interest expense is recorded within interest expense in the Company’s consolidated statements of operations and comprehensive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and Founder Incentive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entered into a Management and Founder Incentive Agreement with Kira KMF Company LLC (“KMF”), an entity owned and controlled by certain members of the Company’s management and founders. Pursuant to the agreement, KMF agreed to provide funding of $25,000 per month from January 2025 through June 2025 to support certain employee related costs and facilitate the continued provision of services by members of management while the Company pursued strategic business development opportunities. In exchange, KMF may be entitled to receive contingent fees based on proceeds received from certain qualifying transactions, including asset sales, licensing transactions, business combinations, or similar strategic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2025, the agreement was mutually terminated as KMF did not provide the funding payment for the full term as a qualifying transaction was not likely to occur and no liabilities or obligations were owed by either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obtained funding proceeds of approximately $108 thousand from KMF, which were recorded within additional paid in capital. As of the termination date of July 1, 2025, no amounts were due to or from KMF. No qualifying transactions had occurred as of the termination date, and accordingly, no contingent fees had been earned or paid under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accrued $92 thousand and $300 thousand for consulting services performed by members of the Company’s Board of Directors and Scientific Advisory Board, respectively. These amounts are recorded within accrued expenses and other current liabilities in the Company’s consolidated balance sheets as accrued general and administrative expenses and accrued research and development expenses,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Subsequent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October 1, 2026, the date that the financial statements were available to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Mach 5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20, 2026, the Company entered into a Second Amended and Restated Secured Senior Promissory Note with Mach5 pursuant to which the Company borrowed an additional $675 thousand resulting in a total outstanding balance of $1.275 million. The Promissory Note bears interest at 5% per annum and matured on January 30, 2026, unless earlier satisfied in accordance with its terms. The Promissory Note is secured by substantially all assets of the Company and is senior in right of payment to all other indebtedness of the Company. Concurrently with the closing of the asset acquisition, the preexisting loan was effectively settled. Consistent with ASC 470-50, </w:t>
      </w:r>
      <w:r>
        <w:rPr>
          <w:rFonts w:ascii="Times New Roman;Times;Serif" w:hAnsi="Times New Roman;Times;Serif"/>
          <w:b w:val="false"/>
          <w:i/>
          <w:caps w:val="false"/>
          <w:smallCaps w:val="false"/>
          <w:sz w:val="20"/>
        </w:rPr>
        <w:t>Debt - Modification and Extinguishments</w:t>
      </w:r>
      <w:r>
        <w:rPr>
          <w:rFonts w:ascii="Times New Roman;Times;Serif" w:hAnsi="Times New Roman;Times;Serif"/>
          <w:b w:val="false"/>
          <w:i w:val="false"/>
          <w:caps w:val="false"/>
          <w:smallCaps w:val="false"/>
          <w:sz w:val="20"/>
        </w:rPr>
        <w:t>, the Company evaluated the difference between the fair value of note and the net carrying amount of the settled note to determine if an extinguishment gain or loss should be recorded. The fair value of the note was determined as of March 17, 2026, the date of the Acquisition and the date on which the note became due and payable in full under its terms. As the valuation and settlement dates are the same, no discount for time value or credit risk applied. The fair value of the note was $1.288 million comprised of outstanding principal and accrued interest, which was equal to the net carrying amount of the extinguished note, so no gain or loss was recorded. The settlement of the preexisting note was presented separately from the total costs to acquire the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Mach 5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completed the acquisition of Mach5 in exchange for equity consideration consisting of 10,676,470 ordinary shares. The transaction is being accounted for as an asset acquisition, as substantially all of the fair value of the gross assets acquired was concentrated in a single identifiable asset group consisting of in-process research and development (IPR&amp;D).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acquisition, the Company entered into a Preferred Shares Investment Agreement with certain purchasers and Kira KMF Team LLC. Under the Preferred Shares Investment Agreement, the Company agreed to issue and sell a total of 3,661,504 preferred shares to the purchasers at a purchase price of $2.18 per share, generating gross proceeds of approximately $8.0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Employee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entered into forgivable loan arrangements with certain members of management totaling $539,000. The arrangements were established as retention incentives and provide for forgiveness of the outstanding balances upon continued employment through January 15, 2027. The Company has concluded that the arrangements are compensatory in nature and will recognize the related compensation cost over the employees’ requisite service period. No loan balances had been forgiven as of the date these financial statements were available to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Share Activity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settled outstanding obligations to members of its Board of Directors and Scientific Advisory Board related to services rendered through March 31, 2026. As of December 31, 2025, the Company had accrued $92 thousand and $300 thousand for services performed through December 31, 2025, which are within accrued expenses and other current liabilities in the Company’s consolidated balance sheets as accrued general and administrative expenses and accrued research and development expenses, respectively. The aggregate amounts due to members of its Board of Directors and Scientific Advisory Board of $108 thousand and $350 thousand, respectively, were settled through the issuance of 49,583 and 160,191 ordinary shares, together with cash payments of $1 thousand and $3 thousand,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Simple Agreements for Future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2026, the Company entered into Simple Agreements for Future Equity (“SAFEs”) with investors and received aggregate gross proceeds of $5.1 million. Under the terms of the SAFEs, the investment amount is convertible into equity securities upon the occurrence of certain triggering events, including a PIPE financing, equity financing, merger, acquisition, other business combination transactions, or as otherwise provided in the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Mirador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13, 2026, the Company entered into a License Agreement with Mirador Therapeutics, Inc. pursuant to which the Company granted Mirador an exclusive worldwide license to develop, manufacture and commercialize products containing the Company’s proprietary anti-C5a antibody (KP301) and anti-C5aR small molecule compound </w:t>
      </w:r>
      <w:r>
        <w:rPr>
          <w:rFonts w:ascii="Times New Roman;Times;Serif" w:hAnsi="Times New Roman;Times;Serif"/>
          <w:b w:val="false"/>
          <w:i w:val="false"/>
          <w:caps w:val="false"/>
          <w:smallCaps w:val="false"/>
          <w:sz w:val="20"/>
          <w:shd w:fill="FFFFFF" w:val="clear"/>
        </w:rPr>
        <w:t>(KP402). Under the agreement, the Company is entitled to receive a (i) $12.0 million upfront payment and (ii) $8.0 million upon delivery of drug substance and compound to Mirador, and may receive up to $458.5 million in development, regulatory and commercial milestone payments, as well as tiered royalties on future net sales of licensed products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Jasper Agreement and Plan of Merger and Private Placement and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the Company was acquired by Jasper Therapeutics, Inc. pursuant to a merger transaction in which the Company became a wholly owned subsidiary of Jasper. In connection with the merger, the Company’s equity holders received 5,195,009 shares of Jasper common stock and 4,644,977 shares of Jasper non-voting convertible preferred stock, each convertible into 61 shares of common stock, subject to certain conditions. Concurrently with the merger, Jasper completed a private placement financing through the sale of approximately 4.7 million shares of non-voting convertible preferred stock for gross proceeds of approximately $132 million.  Jasper has agreed to seek a stockholder vote to convert the Non-Voting Convertible Preferred Stock within 120 days from the closing of the merger. In addition, in the event the Company is unable to obtain stockholder approval of the conversion of the Non-Voting Convertible Preferred Stock within 12 months of the closing of the Merger, holders have the right to require the Company to repurchase the Non-Voting Convertible Preferred Stock at the then current fair market value. Jasper Therapeutics, Inc will be determined to be the accounting acquirer and this acquisition will be accounted for in subsequent periods as an asset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F-22</w:t>
      </w:r>
    </w:p>
    <w:p>
      <w:pPr>
        <w:pStyle w:val="TextBody"/>
        <w:bidi w:val="0"/>
        <w:jc w:val="left"/>
        <w:rPr>
          <w:bdr w:val="single" w:sz="12" w:space="1" w:color="000000"/>
        </w:rPr>
      </w:pPr>
      <w:r>
        <w:rPr>
          <w:bdr w:val="single" w:sz="12"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418" w:right="0" w:hanging="0"/>
        <w:jc w:val="right"/>
        <w:rPr>
          <w:rFonts w:ascii="Times New Roman;Times;Serif" w:hAnsi="Times New Roman;Times;Serif"/>
          <w:b/>
          <w:i w:val="false"/>
          <w:caps w:val="false"/>
          <w:smallCaps w:val="false"/>
          <w:sz w:val="20"/>
        </w:rPr>
      </w:pPr>
      <w:bookmarkStart w:id="33" w:name="ea030686001ex99-2.htm"/>
      <w:bookmarkStart w:id="34" w:name="ksea030686001ex992"/>
      <w:bookmarkEnd w:id="33"/>
      <w:bookmarkEnd w:id="34"/>
      <w:r>
        <w:rPr>
          <w:rFonts w:ascii="Times New Roman;Times;Serif" w:hAnsi="Times New Roman;Times;Serif"/>
          <w:b/>
          <w:i w:val="false"/>
          <w:caps w:val="false"/>
          <w:smallCaps w:val="false"/>
          <w:sz w:val="20"/>
        </w:rPr>
        <w:t>Exhibit 99.2</w:t>
      </w:r>
      <w:r>
        <w:br w:type="page"/>
      </w:r>
    </w:p>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KIRA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shd w:fill="CCEEFF" w:val="clear"/>
            <w:vAlign w:val="center"/>
          </w:tcPr>
          <w:p>
            <w:pPr>
              <w:pStyle w:val="TableContents"/>
              <w:bidi w:val="0"/>
              <w:spacing w:before="0" w:after="283"/>
              <w:jc w:val="left"/>
              <w:rPr/>
            </w:pPr>
            <w:hyperlink w:anchor="a_001">
              <w:r>
                <w:rPr>
                  <w:rStyle w:val="InternetLink"/>
                </w:rPr>
                <w:t>Condensed Consolidated Balance Sheets</w:t>
              </w:r>
            </w:hyperlink>
          </w:p>
        </w:tc>
        <w:tc>
          <w:tcPr>
            <w:tcW w:w="361" w:type="dxa"/>
            <w:tcBorders/>
            <w:shd w:fill="CCEEFF" w:val="clear"/>
            <w:vAlign w:val="center"/>
          </w:tcPr>
          <w:p>
            <w:pPr>
              <w:pStyle w:val="TableContents"/>
              <w:bidi w:val="0"/>
              <w:spacing w:before="0" w:after="283"/>
              <w:jc w:val="center"/>
              <w:rPr/>
            </w:pPr>
            <w:r>
              <w:rPr/>
              <w:t>F-2</w:t>
            </w:r>
          </w:p>
        </w:tc>
      </w:tr>
      <w:tr>
        <w:trPr/>
        <w:tc>
          <w:tcPr>
            <w:tcW w:w="9844" w:type="dxa"/>
            <w:tcBorders/>
            <w:shd w:fill="FFFFFF" w:val="clear"/>
            <w:vAlign w:val="center"/>
          </w:tcPr>
          <w:p>
            <w:pPr>
              <w:pStyle w:val="TableContents"/>
              <w:bidi w:val="0"/>
              <w:spacing w:before="0" w:after="283"/>
              <w:jc w:val="left"/>
              <w:rPr/>
            </w:pPr>
            <w:hyperlink w:anchor="a_002">
              <w:r>
                <w:rPr>
                  <w:rStyle w:val="InternetLink"/>
                </w:rPr>
                <w:t>Condensed Consolidated Statements of Operations and Comprehensive Loss</w:t>
              </w:r>
            </w:hyperlink>
          </w:p>
        </w:tc>
        <w:tc>
          <w:tcPr>
            <w:tcW w:w="361" w:type="dxa"/>
            <w:tcBorders/>
            <w:shd w:fill="FFFFFF" w:val="clear"/>
            <w:vAlign w:val="center"/>
          </w:tcPr>
          <w:p>
            <w:pPr>
              <w:pStyle w:val="TableContents"/>
              <w:bidi w:val="0"/>
              <w:spacing w:before="0" w:after="283"/>
              <w:jc w:val="center"/>
              <w:rPr/>
            </w:pPr>
            <w:r>
              <w:rPr/>
              <w:t>F-3</w:t>
            </w:r>
          </w:p>
        </w:tc>
      </w:tr>
      <w:tr>
        <w:trPr/>
        <w:tc>
          <w:tcPr>
            <w:tcW w:w="9844" w:type="dxa"/>
            <w:tcBorders/>
            <w:shd w:fill="CCEEFF" w:val="clear"/>
            <w:vAlign w:val="center"/>
          </w:tcPr>
          <w:p>
            <w:pPr>
              <w:pStyle w:val="TableContents"/>
              <w:bidi w:val="0"/>
              <w:spacing w:before="0" w:after="283"/>
              <w:jc w:val="left"/>
              <w:rPr/>
            </w:pPr>
            <w:hyperlink w:anchor="a_003">
              <w:r>
                <w:rPr>
                  <w:rStyle w:val="InternetLink"/>
                </w:rPr>
                <w:t>Condensed Consolidated Statements of Redeemable Convertible Preferred Stock and Stockholders’ Deficit</w:t>
              </w:r>
            </w:hyperlink>
          </w:p>
        </w:tc>
        <w:tc>
          <w:tcPr>
            <w:tcW w:w="361" w:type="dxa"/>
            <w:tcBorders/>
            <w:shd w:fill="CCEEFF" w:val="clear"/>
            <w:vAlign w:val="center"/>
          </w:tcPr>
          <w:p>
            <w:pPr>
              <w:pStyle w:val="TableContents"/>
              <w:bidi w:val="0"/>
              <w:spacing w:before="0" w:after="283"/>
              <w:jc w:val="center"/>
              <w:rPr/>
            </w:pPr>
            <w:r>
              <w:rPr/>
              <w:t>F-4</w:t>
            </w:r>
          </w:p>
        </w:tc>
      </w:tr>
      <w:tr>
        <w:trPr/>
        <w:tc>
          <w:tcPr>
            <w:tcW w:w="9844" w:type="dxa"/>
            <w:tcBorders/>
            <w:shd w:fill="FFFFFF" w:val="clear"/>
            <w:vAlign w:val="center"/>
          </w:tcPr>
          <w:p>
            <w:pPr>
              <w:pStyle w:val="TableContents"/>
              <w:bidi w:val="0"/>
              <w:spacing w:before="0" w:after="283"/>
              <w:jc w:val="left"/>
              <w:rPr/>
            </w:pPr>
            <w:hyperlink w:anchor="a_004">
              <w:r>
                <w:rPr>
                  <w:rStyle w:val="InternetLink"/>
                </w:rPr>
                <w:t>Condensed Consolidated Statements of Cash Flows</w:t>
              </w:r>
            </w:hyperlink>
          </w:p>
        </w:tc>
        <w:tc>
          <w:tcPr>
            <w:tcW w:w="361" w:type="dxa"/>
            <w:tcBorders/>
            <w:shd w:fill="FFFFFF" w:val="clear"/>
            <w:vAlign w:val="center"/>
          </w:tcPr>
          <w:p>
            <w:pPr>
              <w:pStyle w:val="TableContents"/>
              <w:bidi w:val="0"/>
              <w:spacing w:before="0" w:after="283"/>
              <w:jc w:val="center"/>
              <w:rPr/>
            </w:pPr>
            <w:r>
              <w:rPr/>
              <w:t>F-5</w:t>
            </w:r>
          </w:p>
        </w:tc>
      </w:tr>
      <w:tr>
        <w:trPr/>
        <w:tc>
          <w:tcPr>
            <w:tcW w:w="9844" w:type="dxa"/>
            <w:tcBorders/>
            <w:shd w:fill="CCEEFF" w:val="clear"/>
            <w:vAlign w:val="center"/>
          </w:tcPr>
          <w:p>
            <w:pPr>
              <w:pStyle w:val="TableContents"/>
              <w:bidi w:val="0"/>
              <w:spacing w:before="0" w:after="283"/>
              <w:jc w:val="left"/>
              <w:rPr/>
            </w:pPr>
            <w:hyperlink w:anchor="a_005">
              <w:r>
                <w:rPr>
                  <w:rStyle w:val="InternetLink"/>
                </w:rPr>
                <w:t>Notes to the Condensed Consolidated Financial Statements</w:t>
              </w:r>
            </w:hyperlink>
          </w:p>
        </w:tc>
        <w:tc>
          <w:tcPr>
            <w:tcW w:w="361" w:type="dxa"/>
            <w:tcBorders/>
            <w:shd w:fill="CCEEFF" w:val="clear"/>
            <w:vAlign w:val="center"/>
          </w:tcPr>
          <w:p>
            <w:pPr>
              <w:pStyle w:val="TableContents"/>
              <w:bidi w:val="0"/>
              <w:spacing w:before="0" w:after="283"/>
              <w:jc w:val="center"/>
              <w:rPr/>
            </w:pPr>
            <w:r>
              <w:rPr/>
              <w:t>F-6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a_001"/>
      <w:bookmarkEnd w:id="35"/>
      <w:r>
        <w:rPr>
          <w:rFonts w:ascii="Times New Roman;Times;Serif" w:hAnsi="Times New Roman;Times;Serif"/>
          <w:b/>
          <w:i w:val="false"/>
          <w:caps w:val="false"/>
          <w:smallCaps w:val="false"/>
          <w:sz w:val="20"/>
        </w:rPr>
        <w:t>KIRA PHARMACEUTICALS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4325"/>
        <w:gridCol w:w="60"/>
        <w:gridCol w:w="165"/>
        <w:gridCol w:w="1039"/>
        <w:gridCol w:w="95"/>
        <w:gridCol w:w="60"/>
        <w:gridCol w:w="194"/>
        <w:gridCol w:w="1220"/>
        <w:gridCol w:w="110"/>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10,685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587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576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b/>
              </w:rPr>
            </w:pPr>
            <w:r>
              <w:rPr>
                <w:b/>
              </w:rPr>
              <w:t>11,261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767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Right-of-use asset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308</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1,123</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Trade accounts payable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4,232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6,426</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606</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Promissory note payable - related party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600</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SAFE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7,214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Lease liabilities - current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b/>
              </w:rPr>
            </w:pPr>
            <w:r>
              <w:rPr>
                <w:b/>
              </w:rPr>
              <w:t>12,211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7,663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1,294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1,192</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b/>
              </w:rPr>
            </w:pPr>
            <w:r>
              <w:rPr>
                <w:b/>
              </w:rPr>
              <w:t>13,505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8,866</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Commitments and contingencies (Note 2)</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Stockholders’ deficit: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170</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Additional paid-in-capital</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181,979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172,670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(184,172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(180,754</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171</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(7,743</w:t>
            </w:r>
          </w:p>
        </w:tc>
        <w:tc>
          <w:tcPr>
            <w:tcW w:w="110" w:type="dxa"/>
            <w:tcBorders/>
            <w:shd w:fill="CCEEFF" w:val="clear"/>
            <w:vAlign w:val="center"/>
          </w:tcPr>
          <w:p>
            <w:pPr>
              <w:pStyle w:val="TableContents"/>
              <w:bidi w:val="0"/>
              <w:spacing w:before="0" w:after="283"/>
              <w:jc w:val="left"/>
              <w:rPr>
                <w:b/>
              </w:rPr>
            </w:pPr>
            <w:r>
              <w:rPr>
                <w:b/>
              </w:rPr>
              <w:t>)</w:t>
            </w:r>
          </w:p>
        </w:tc>
      </w:tr>
      <w:tr>
        <w:trPr/>
        <w:tc>
          <w:tcPr>
            <w:tcW w:w="4325" w:type="dxa"/>
            <w:tcBorders/>
            <w:shd w:fill="FFFFFF" w:val="clear"/>
            <w:vAlign w:val="center"/>
          </w:tcPr>
          <w:p>
            <w:pPr>
              <w:pStyle w:val="TableContents"/>
              <w:bidi w:val="0"/>
              <w:spacing w:before="0" w:after="283"/>
              <w:jc w:val="left"/>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3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11,645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18"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6" w:name="a_002"/>
      <w:bookmarkEnd w:id="36"/>
      <w:r>
        <w:rPr>
          <w:rFonts w:ascii="Times New Roman;Times;Serif" w:hAnsi="Times New Roman;Times;Serif"/>
          <w:b/>
          <w:i w:val="false"/>
          <w:caps w:val="false"/>
          <w:smallCaps w:val="false"/>
          <w:sz w:val="20"/>
        </w:rPr>
        <w:t>KIRA PHARMACEUTICALS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421" w:type="dxa"/>
        <w:jc w:val="left"/>
        <w:tblInd w:w="0" w:type="dxa"/>
        <w:tblLayout w:type="fixed"/>
        <w:tblCellMar>
          <w:top w:w="0" w:type="dxa"/>
          <w:left w:w="0" w:type="dxa"/>
          <w:bottom w:w="0" w:type="dxa"/>
          <w:right w:w="0" w:type="dxa"/>
        </w:tblCellMar>
      </w:tblPr>
      <w:tblGrid>
        <w:gridCol w:w="5285"/>
        <w:gridCol w:w="60"/>
        <w:gridCol w:w="161"/>
        <w:gridCol w:w="733"/>
        <w:gridCol w:w="109"/>
        <w:gridCol w:w="69"/>
        <w:gridCol w:w="161"/>
        <w:gridCol w:w="733"/>
        <w:gridCol w:w="110"/>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894" w:type="dxa"/>
            <w:gridSpan w:val="2"/>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9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1,187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395</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1,253</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842</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Acquired in-process research and development expense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139</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FFFFFF" w:val="clear"/>
            <w:tcMar>
              <w:bottom w:w="28" w:type="dxa"/>
            </w:tcMar>
            <w:vAlign w:val="center"/>
          </w:tcPr>
          <w:p>
            <w:pPr>
              <w:pStyle w:val="TableContents"/>
              <w:bidi w:val="0"/>
              <w:spacing w:before="0" w:after="283"/>
              <w:jc w:val="right"/>
              <w:rPr/>
            </w:pPr>
            <w:r>
              <w:rPr/>
              <w:t>2,579</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FFFFFF" w:val="clear"/>
            <w:tcMar>
              <w:bottom w:w="28" w:type="dxa"/>
            </w:tcMar>
            <w:vAlign w:val="center"/>
          </w:tcPr>
          <w:p>
            <w:pPr>
              <w:pStyle w:val="TableContents"/>
              <w:bidi w:val="0"/>
              <w:spacing w:before="0" w:after="283"/>
              <w:jc w:val="right"/>
              <w:rPr/>
            </w:pPr>
            <w:r>
              <w:rPr/>
              <w:t>1,237</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(2,579</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(1,237</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Gain on accounts payable settlement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1,327</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Loss on issuance of SAFEs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(2,164</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FFFFFF" w:val="clear"/>
            <w:tcMar>
              <w:bottom w:w="28" w:type="dxa"/>
            </w:tcMar>
            <w:vAlign w:val="center"/>
          </w:tcPr>
          <w:p>
            <w:pPr>
              <w:pStyle w:val="TableContents"/>
              <w:bidi w:val="0"/>
              <w:spacing w:before="0" w:after="283"/>
              <w:jc w:val="right"/>
              <w:rPr/>
            </w:pPr>
            <w:r>
              <w:rPr/>
              <w:t>142</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(752</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142</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(3,331</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(1,095</w:t>
            </w:r>
          </w:p>
        </w:tc>
        <w:tc>
          <w:tcPr>
            <w:tcW w:w="110" w:type="dxa"/>
            <w:tcBorders/>
            <w:shd w:fill="FFFFFF" w:val="clear"/>
            <w:vAlign w:val="center"/>
          </w:tcPr>
          <w:p>
            <w:pPr>
              <w:pStyle w:val="TableContents"/>
              <w:bidi w:val="0"/>
              <w:spacing w:before="0" w:after="283"/>
              <w:jc w:val="left"/>
              <w:rPr/>
            </w:pPr>
            <w:r>
              <w:rPr/>
              <w:t>)</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FFFFFF" w:val="clear"/>
            <w:tcMar>
              <w:bottom w:w="28" w:type="dxa"/>
            </w:tcMar>
            <w:vAlign w:val="center"/>
          </w:tcPr>
          <w:p>
            <w:pPr>
              <w:pStyle w:val="TableContents"/>
              <w:bidi w:val="0"/>
              <w:spacing w:before="0" w:after="283"/>
              <w:jc w:val="right"/>
              <w:rPr/>
            </w:pPr>
            <w:r>
              <w:rPr/>
              <w:t>87</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FFFFFF" w:val="clear"/>
            <w:tcMar>
              <w:bottom w:w="28" w:type="dxa"/>
            </w:tcMar>
            <w:vAlign w:val="center"/>
          </w:tcPr>
          <w:p>
            <w:pPr>
              <w:pStyle w:val="TableContents"/>
              <w:bidi w:val="0"/>
              <w:spacing w:before="0" w:after="283"/>
              <w:jc w:val="right"/>
              <w:rPr/>
            </w:pPr>
            <w:r>
              <w:rPr/>
              <w:t>66</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3" w:type="dxa"/>
            <w:tcBorders>
              <w:bottom w:val="double" w:sz="10" w:space="0" w:color="000000"/>
            </w:tcBorders>
            <w:shd w:fill="CCEEFF" w:val="clear"/>
            <w:tcMar>
              <w:bottom w:w="28" w:type="dxa"/>
            </w:tcMar>
            <w:vAlign w:val="center"/>
          </w:tcPr>
          <w:p>
            <w:pPr>
              <w:pStyle w:val="TableContents"/>
              <w:bidi w:val="0"/>
              <w:spacing w:before="0" w:after="283"/>
              <w:jc w:val="right"/>
              <w:rPr/>
            </w:pPr>
            <w:r>
              <w:rPr/>
              <w:t>(3,418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3" w:type="dxa"/>
            <w:tcBorders>
              <w:bottom w:val="double" w:sz="10" w:space="0" w:color="000000"/>
            </w:tcBorders>
            <w:shd w:fill="CCEEFF" w:val="clear"/>
            <w:tcMar>
              <w:bottom w:w="28" w:type="dxa"/>
            </w:tcMar>
            <w:vAlign w:val="center"/>
          </w:tcPr>
          <w:p>
            <w:pPr>
              <w:pStyle w:val="TableContents"/>
              <w:bidi w:val="0"/>
              <w:spacing w:before="0" w:after="283"/>
              <w:jc w:val="right"/>
              <w:rPr/>
            </w:pPr>
            <w:r>
              <w:rPr/>
              <w:t>(1,161</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Comprehensive loss: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3" w:type="dxa"/>
            <w:tcBorders/>
            <w:shd w:fill="FFFFFF" w:val="clear"/>
            <w:vAlign w:val="center"/>
          </w:tcPr>
          <w:p>
            <w:pPr>
              <w:pStyle w:val="TableContents"/>
              <w:bidi w:val="0"/>
              <w:spacing w:before="0" w:after="283"/>
              <w:jc w:val="right"/>
              <w:rPr/>
            </w:pPr>
            <w:r>
              <w:rPr/>
              <w:t>(3,418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3" w:type="dxa"/>
            <w:tcBorders/>
            <w:shd w:fill="FFFFFF" w:val="clear"/>
            <w:vAlign w:val="center"/>
          </w:tcPr>
          <w:p>
            <w:pPr>
              <w:pStyle w:val="TableContents"/>
              <w:bidi w:val="0"/>
              <w:spacing w:before="0" w:after="283"/>
              <w:jc w:val="right"/>
              <w:rPr/>
            </w:pPr>
            <w:r>
              <w:rPr/>
              <w:t>(1,161</w:t>
            </w:r>
          </w:p>
        </w:tc>
        <w:tc>
          <w:tcPr>
            <w:tcW w:w="110" w:type="dxa"/>
            <w:tcBorders/>
            <w:shd w:fill="FFFFFF" w:val="clear"/>
            <w:vAlign w:val="center"/>
          </w:tcPr>
          <w:p>
            <w:pPr>
              <w:pStyle w:val="TableContents"/>
              <w:bidi w:val="0"/>
              <w:spacing w:before="0" w:after="283"/>
              <w:jc w:val="left"/>
              <w:rPr/>
            </w:pPr>
            <w:r>
              <w:rPr/>
              <w:t>)</w:t>
            </w:r>
          </w:p>
        </w:tc>
      </w:tr>
      <w:tr>
        <w:trPr/>
        <w:tc>
          <w:tcPr>
            <w:tcW w:w="5285"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(151</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(227</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33" w:type="dxa"/>
            <w:tcBorders>
              <w:bottom w:val="double" w:sz="10" w:space="0" w:color="000000"/>
            </w:tcBorders>
            <w:shd w:fill="FFFFFF" w:val="clear"/>
            <w:tcMar>
              <w:bottom w:w="28" w:type="dxa"/>
            </w:tcMar>
            <w:vAlign w:val="center"/>
          </w:tcPr>
          <w:p>
            <w:pPr>
              <w:pStyle w:val="TableContents"/>
              <w:bidi w:val="0"/>
              <w:spacing w:before="0" w:after="283"/>
              <w:jc w:val="right"/>
              <w:rPr/>
            </w:pPr>
            <w:r>
              <w:rPr/>
              <w:t>(3,569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33" w:type="dxa"/>
            <w:tcBorders>
              <w:bottom w:val="double" w:sz="10" w:space="0" w:color="000000"/>
            </w:tcBorders>
            <w:shd w:fill="FFFFFF" w:val="clear"/>
            <w:tcMar>
              <w:bottom w:w="28" w:type="dxa"/>
            </w:tcMar>
            <w:vAlign w:val="center"/>
          </w:tcPr>
          <w:p>
            <w:pPr>
              <w:pStyle w:val="TableContents"/>
              <w:bidi w:val="0"/>
              <w:spacing w:before="0" w:after="283"/>
              <w:jc w:val="right"/>
              <w:rPr/>
            </w:pPr>
            <w:r>
              <w:rPr/>
              <w:t>(1,388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ind w:left="418"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7" w:name="a_003"/>
      <w:bookmarkEnd w:id="37"/>
      <w:r>
        <w:rPr>
          <w:rFonts w:ascii="Times New Roman;Times;Serif" w:hAnsi="Times New Roman;Times;Serif"/>
          <w:b/>
          <w:i w:val="false"/>
          <w:caps w:val="false"/>
          <w:smallCaps w:val="false"/>
          <w:sz w:val="20"/>
        </w:rPr>
        <w:t>KIRA PHARMACEUTICALS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REDEEMABLE CONVERTIBLE PREFERRED STOCK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STOCKHOLDERS’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418" w:right="0" w:hanging="0"/>
        <w:jc w:val="center"/>
        <w:rPr>
          <w:caps w:val="false"/>
          <w:smallCaps w:val="false"/>
        </w:rPr>
      </w:pPr>
      <w:r>
        <w:rPr>
          <w:caps w:val="false"/>
          <w:smallCaps w:val="false"/>
        </w:rPr>
        <w:t> </w:t>
      </w:r>
    </w:p>
    <w:tbl>
      <w:tblPr>
        <w:tblW w:w="11945"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40"/>
        <w:gridCol w:w="800"/>
        <w:gridCol w:w="60"/>
        <w:gridCol w:w="60"/>
        <w:gridCol w:w="60"/>
        <w:gridCol w:w="1100"/>
        <w:gridCol w:w="95"/>
        <w:gridCol w:w="60"/>
        <w:gridCol w:w="231"/>
        <w:gridCol w:w="629"/>
        <w:gridCol w:w="95"/>
        <w:gridCol w:w="60"/>
        <w:gridCol w:w="163"/>
        <w:gridCol w:w="937"/>
        <w:gridCol w:w="95"/>
        <w:gridCol w:w="60"/>
        <w:gridCol w:w="188"/>
        <w:gridCol w:w="1182"/>
        <w:gridCol w:w="95"/>
        <w:gridCol w:w="60"/>
        <w:gridCol w:w="201"/>
        <w:gridCol w:w="1409"/>
        <w:gridCol w:w="95"/>
        <w:gridCol w:w="60"/>
        <w:gridCol w:w="184"/>
        <w:gridCol w:w="1156"/>
        <w:gridCol w:w="110"/>
      </w:tblGrid>
      <w:tr>
        <w:trPr/>
        <w:tc>
          <w:tcPr>
            <w:tcW w:w="134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ind w:left="0" w:right="0" w:hanging="180"/>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180"/>
              <w:jc w:val="center"/>
              <w:rPr/>
            </w:pPr>
            <w:r>
              <w:rPr/>
              <w:t> </w:t>
            </w:r>
          </w:p>
        </w:tc>
      </w:tr>
      <w:tr>
        <w:trPr/>
        <w:tc>
          <w:tcPr>
            <w:tcW w:w="1340" w:type="dxa"/>
            <w:tcBorders/>
            <w:shd w:fill="CCEEFF" w:val="clear"/>
            <w:vAlign w:val="center"/>
          </w:tcPr>
          <w:p>
            <w:pPr>
              <w:pStyle w:val="TableContents"/>
              <w:bidi w:val="0"/>
              <w:spacing w:before="0" w:after="283"/>
              <w:jc w:val="left"/>
              <w:rPr>
                <w:b/>
              </w:rPr>
            </w:pPr>
            <w:r>
              <w:rPr>
                <w:b/>
              </w:rPr>
              <w:t>Balances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17,054,011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172,670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(180,754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9" w:type="dxa"/>
            <w:tcBorders/>
            <w:shd w:fill="CCEEFF" w:val="clear"/>
            <w:vAlign w:val="center"/>
          </w:tcPr>
          <w:p>
            <w:pPr>
              <w:pStyle w:val="TableContents"/>
              <w:bidi w:val="0"/>
              <w:spacing w:before="0" w:after="283"/>
              <w:jc w:val="right"/>
              <w:rPr/>
            </w:pPr>
            <w:r>
              <w:rPr/>
              <w:t>          </w:t>
            </w:r>
            <w:r>
              <w:rPr/>
              <w:t>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 </w:t>
            </w:r>
            <w:r>
              <w:rPr/>
              <w:t>(7,743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Foreign currency translation adjustment,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(151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(151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Shares issued in connection with Mach5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10,676,470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961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Shares issuance in exchange for accrued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176,265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381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Shares issuance in exchange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Issuance of preferred stock,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3,661,504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7,958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Surrendered shares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(269,171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(3,418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(3,418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Balances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3,661,504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27,671,084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FFFFFF" w:val="clear"/>
            <w:tcMar>
              <w:bottom w:w="28" w:type="dxa"/>
            </w:tcM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181,979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(184,172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09" w:type="dxa"/>
            <w:tcBorders>
              <w:bottom w:val="double" w:sz="10"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10" w:space="0" w:color="000000"/>
            </w:tcBorders>
            <w:shd w:fill="FFFFFF" w:val="clear"/>
            <w:tcMar>
              <w:bottom w:w="28" w:type="dxa"/>
            </w:tcMar>
            <w:vAlign w:val="center"/>
          </w:tcPr>
          <w:p>
            <w:pPr>
              <w:pStyle w:val="TableContents"/>
              <w:bidi w:val="0"/>
              <w:spacing w:before="0" w:after="283"/>
              <w:jc w:val="right"/>
              <w:rPr/>
            </w:pPr>
            <w:r>
              <w:rPr/>
              <w:t>(1,860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0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5"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Redeemable Convertible</w:t>
              <w:b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ind w:left="0" w:right="0" w:hanging="180"/>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180"/>
              <w:jc w:val="center"/>
              <w:rPr/>
            </w:pPr>
            <w:r>
              <w:rPr/>
              <w:t> </w:t>
            </w:r>
          </w:p>
        </w:tc>
      </w:tr>
      <w:tr>
        <w:trPr/>
        <w:tc>
          <w:tcPr>
            <w:tcW w:w="134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722,097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161,518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(169,496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9" w:type="dxa"/>
            <w:tcBorders/>
            <w:shd w:fill="CCEEFF" w:val="clear"/>
            <w:vAlign w:val="center"/>
          </w:tcPr>
          <w:p>
            <w:pPr>
              <w:pStyle w:val="TableContents"/>
              <w:bidi w:val="0"/>
              <w:spacing w:before="0" w:after="283"/>
              <w:jc w:val="right"/>
              <w:rPr/>
            </w:pPr>
            <w:r>
              <w:rPr/>
              <w:t>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(168,908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Capital contribution -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Foreign currency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(227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Accretion of Series A, B, and B+ redeemable convertible preferred stock to redemption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(5,135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(5,305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(1,161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Balances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722,097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166,823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102,688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pPr>
            <w:r>
              <w:rPr/>
              <w:t>(175,792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9" w:type="dxa"/>
            <w:tcBorders>
              <w:bottom w:val="double" w:sz="10" w:space="0" w:color="000000"/>
            </w:tcBorders>
            <w:shd w:fill="CCEEFF" w:val="clear"/>
            <w:tcMar>
              <w:bottom w:w="28" w:type="dxa"/>
            </w:tcMar>
            <w:vAlign w:val="center"/>
          </w:tcPr>
          <w:p>
            <w:pPr>
              <w:pStyle w:val="TableContents"/>
              <w:bidi w:val="0"/>
              <w:spacing w:before="0" w:after="283"/>
              <w:jc w:val="right"/>
              <w:rPr/>
            </w:pPr>
            <w:r>
              <w:rPr/>
              <w:t>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pPr>
            <w:r>
              <w:rPr/>
              <w:t>(175,431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ind w:left="418"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720" w:right="0" w:firstLine="302"/>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8" w:name="a_004"/>
      <w:bookmarkEnd w:id="38"/>
      <w:r>
        <w:rPr>
          <w:rFonts w:ascii="Times New Roman;Times;Serif" w:hAnsi="Times New Roman;Times;Serif"/>
          <w:b/>
          <w:i w:val="false"/>
          <w:caps w:val="false"/>
          <w:smallCaps w:val="false"/>
          <w:sz w:val="20"/>
        </w:rPr>
        <w:t>KIRA PHARMACEUTICALS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191" w:type="dxa"/>
        <w:jc w:val="left"/>
        <w:tblInd w:w="0" w:type="dxa"/>
        <w:tblLayout w:type="fixed"/>
        <w:tblCellMar>
          <w:top w:w="0" w:type="dxa"/>
          <w:left w:w="0" w:type="dxa"/>
          <w:bottom w:w="0" w:type="dxa"/>
          <w:right w:w="0" w:type="dxa"/>
        </w:tblCellMar>
      </w:tblPr>
      <w:tblGrid>
        <w:gridCol w:w="7055"/>
        <w:gridCol w:w="60"/>
        <w:gridCol w:w="157"/>
        <w:gridCol w:w="765"/>
        <w:gridCol w:w="106"/>
        <w:gridCol w:w="67"/>
        <w:gridCol w:w="157"/>
        <w:gridCol w:w="714"/>
        <w:gridCol w:w="110"/>
      </w:tblGrid>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22" w:type="dxa"/>
            <w:gridSpan w:val="2"/>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5" w:type="dxa"/>
            <w:tcBorders/>
            <w:shd w:fill="CCEEFF" w:val="clear"/>
            <w:vAlign w:val="center"/>
          </w:tcPr>
          <w:p>
            <w:pPr>
              <w:pStyle w:val="TableContents"/>
              <w:bidi w:val="0"/>
              <w:spacing w:before="0" w:after="283"/>
              <w:jc w:val="right"/>
              <w:rPr/>
            </w:pPr>
            <w:r>
              <w:rPr/>
              <w:t>(3,418</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(1,161</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Adjustment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2</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Gain on settlement of accounts payable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(1,327</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Loss on issuance of SAFEs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2,164</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Shares issuance in exchange for services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73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Acquired in-process research and development expense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139</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Noncash interest expense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12</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79</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14</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Deferred tax benefit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(7</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(120</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Unrealized foreign currency transaction gain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(105</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(130</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Changes in current assets and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Prepaid expenses, other current assets, and other noncurrent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(392</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132</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Trade accounts payable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(884</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697</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170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(314</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(15</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shd w:fill="FFFFFF" w:val="clear"/>
            <w:tcMar>
              <w:bottom w:w="28" w:type="dxa"/>
            </w:tcMar>
            <w:vAlign w:val="center"/>
          </w:tcPr>
          <w:p>
            <w:pPr>
              <w:pStyle w:val="TableContents"/>
              <w:bidi w:val="0"/>
              <w:spacing w:before="0" w:after="283"/>
              <w:jc w:val="right"/>
              <w:rPr/>
            </w:pPr>
            <w:r>
              <w:rPr/>
              <w:t>44</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FFFFFF" w:val="clear"/>
            <w:tcMar>
              <w:bottom w:w="28" w:type="dxa"/>
            </w:tcMar>
            <w:vAlign w:val="center"/>
          </w:tcPr>
          <w:p>
            <w:pPr>
              <w:pStyle w:val="TableContents"/>
              <w:bidi w:val="0"/>
              <w:spacing w:before="0" w:after="283"/>
              <w:jc w:val="right"/>
              <w:rPr/>
            </w:pPr>
            <w:r>
              <w:rPr/>
              <w:t>185</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shd w:fill="CCEEFF" w:val="clear"/>
            <w:tcMar>
              <w:bottom w:w="28" w:type="dxa"/>
            </w:tcMar>
            <w:vAlign w:val="center"/>
          </w:tcPr>
          <w:p>
            <w:pPr>
              <w:pStyle w:val="TableContents"/>
              <w:bidi w:val="0"/>
              <w:spacing w:before="0" w:after="283"/>
              <w:jc w:val="right"/>
              <w:rPr/>
            </w:pPr>
            <w:r>
              <w:rPr/>
              <w:t>(3,451</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(648</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Cash acquired through asset acquisition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61</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Transaction costs paid for asset acquisition</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shd w:fill="CCEEFF" w:val="clear"/>
            <w:tcMar>
              <w:bottom w:w="28" w:type="dxa"/>
            </w:tcMar>
            <w:vAlign w:val="center"/>
          </w:tcPr>
          <w:p>
            <w:pPr>
              <w:pStyle w:val="TableContents"/>
              <w:bidi w:val="0"/>
              <w:spacing w:before="0" w:after="283"/>
              <w:jc w:val="right"/>
              <w:rPr/>
            </w:pPr>
            <w:r>
              <w:rPr/>
              <w:t>(200</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shd w:fill="FFFFFF" w:val="clear"/>
            <w:tcMar>
              <w:bottom w:w="28" w:type="dxa"/>
            </w:tcMar>
            <w:vAlign w:val="center"/>
          </w:tcPr>
          <w:p>
            <w:pPr>
              <w:pStyle w:val="TableContents"/>
              <w:bidi w:val="0"/>
              <w:spacing w:before="0" w:after="283"/>
              <w:jc w:val="right"/>
              <w:rPr/>
            </w:pPr>
            <w:r>
              <w:rPr/>
              <w:t>(139</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Proceeds from SAFEs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5,050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Proceeds from promissory note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675</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Issuance of preferred stock</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8,000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Payment of preferred stock issuance costs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(42</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Proceeds from capital contribution from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shd w:fill="FFFFFF" w:val="clear"/>
            <w:tcMar>
              <w:bottom w:w="28" w:type="dxa"/>
            </w:tcMar>
            <w:vAlign w:val="center"/>
          </w:tcPr>
          <w:p>
            <w:pPr>
              <w:pStyle w:val="TableContents"/>
              <w:bidi w:val="0"/>
              <w:spacing w:before="0" w:after="283"/>
              <w:jc w:val="right"/>
              <w:rPr/>
            </w:pPr>
            <w:r>
              <w:rPr/>
              <w:t>13,683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FFFFFF" w:val="clear"/>
            <w:tcMar>
              <w:bottom w:w="28" w:type="dxa"/>
            </w:tcMar>
            <w:vAlign w:val="center"/>
          </w:tcPr>
          <w:p>
            <w:pPr>
              <w:pStyle w:val="TableContents"/>
              <w:bidi w:val="0"/>
              <w:spacing w:before="0" w:after="283"/>
              <w:jc w:val="right"/>
              <w:rPr/>
            </w:pPr>
            <w:r>
              <w:rPr/>
              <w:t>108</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5</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10,098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(524</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Cash and cash equivalents—beginning of period</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shd w:fill="CCEEFF" w:val="clear"/>
            <w:tcMar>
              <w:bottom w:w="28" w:type="dxa"/>
            </w:tcMar>
            <w:vAlign w:val="center"/>
          </w:tcPr>
          <w:p>
            <w:pPr>
              <w:pStyle w:val="TableContents"/>
              <w:bidi w:val="0"/>
              <w:spacing w:before="0" w:after="283"/>
              <w:jc w:val="right"/>
              <w:rPr/>
            </w:pPr>
            <w:r>
              <w:rPr/>
              <w:t>587</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898</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Cash and cash equivalents—end of period</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65" w:type="dxa"/>
            <w:tcBorders>
              <w:bottom w:val="double" w:sz="10" w:space="0" w:color="000000"/>
            </w:tcBorders>
            <w:shd w:fill="FFFFFF" w:val="clear"/>
            <w:tcMar>
              <w:bottom w:w="28" w:type="dxa"/>
            </w:tcMar>
            <w:vAlign w:val="center"/>
          </w:tcPr>
          <w:p>
            <w:pPr>
              <w:pStyle w:val="TableContents"/>
              <w:bidi w:val="0"/>
              <w:spacing w:before="0" w:after="283"/>
              <w:jc w:val="right"/>
              <w:rPr/>
            </w:pPr>
            <w:r>
              <w:rPr/>
              <w:t>10,685</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374</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Cash paid for taxes, net of refunds received</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5" w:type="dxa"/>
            <w:tcBorders>
              <w:bottom w:val="double" w:sz="10" w:space="0" w:color="000000"/>
            </w:tcBorders>
            <w:shd w:fill="CCEEFF" w:val="clear"/>
            <w:tcMar>
              <w:bottom w:w="28" w:type="dxa"/>
            </w:tcMar>
            <w:vAlign w:val="center"/>
          </w:tcPr>
          <w:p>
            <w:pPr>
              <w:pStyle w:val="TableContents"/>
              <w:bidi w:val="0"/>
              <w:spacing w:before="0" w:after="283"/>
              <w:jc w:val="right"/>
              <w:rPr/>
            </w:pPr>
            <w:r>
              <w:rPr/>
              <w:t>1</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b/>
              </w:rPr>
            </w:pPr>
            <w:r>
              <w:rPr>
                <w:b/>
              </w:rPr>
              <w:t>Non-cash financing and investing activities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Equity consideration issued in connection with acquisition of Mach5</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65" w:type="dxa"/>
            <w:tcBorders>
              <w:bottom w:val="double" w:sz="10" w:space="0" w:color="000000"/>
            </w:tcBorders>
            <w:shd w:fill="FFFFFF" w:val="clear"/>
            <w:tcMar>
              <w:bottom w:w="28" w:type="dxa"/>
            </w:tcMar>
            <w:vAlign w:val="center"/>
          </w:tcPr>
          <w:p>
            <w:pPr>
              <w:pStyle w:val="TableContents"/>
              <w:bidi w:val="0"/>
              <w:spacing w:before="0" w:after="283"/>
              <w:jc w:val="right"/>
              <w:rPr/>
            </w:pPr>
            <w:r>
              <w:rPr/>
              <w:t>961</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Settlement of promissory note payable -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5" w:type="dxa"/>
            <w:tcBorders>
              <w:bottom w:val="double" w:sz="10" w:space="0" w:color="000000"/>
            </w:tcBorders>
            <w:shd w:fill="CCEEFF" w:val="clear"/>
            <w:tcMar>
              <w:bottom w:w="28" w:type="dxa"/>
            </w:tcMar>
            <w:vAlign w:val="center"/>
          </w:tcPr>
          <w:p>
            <w:pPr>
              <w:pStyle w:val="TableContents"/>
              <w:bidi w:val="0"/>
              <w:spacing w:before="0" w:after="283"/>
              <w:jc w:val="right"/>
              <w:rPr/>
            </w:pPr>
            <w:r>
              <w:rPr/>
              <w:t>1,288</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Shares issuance in exchange for accrued services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65" w:type="dxa"/>
            <w:tcBorders>
              <w:bottom w:val="double" w:sz="10" w:space="0" w:color="000000"/>
            </w:tcBorders>
            <w:shd w:fill="FFFFFF" w:val="clear"/>
            <w:tcMar>
              <w:bottom w:w="28" w:type="dxa"/>
            </w:tcMar>
            <w:vAlign w:val="center"/>
          </w:tcPr>
          <w:p>
            <w:pPr>
              <w:pStyle w:val="TableContents"/>
              <w:bidi w:val="0"/>
              <w:spacing w:before="0" w:after="283"/>
              <w:jc w:val="right"/>
              <w:rPr/>
            </w:pPr>
            <w:r>
              <w:rPr/>
              <w:t>381</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Unpaid transaction costs for asset acquisition included in accounts payable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5" w:type="dxa"/>
            <w:tcBorders>
              <w:bottom w:val="double" w:sz="10" w:space="0" w:color="000000"/>
            </w:tcBorders>
            <w:shd w:fill="CCEEFF" w:val="clear"/>
            <w:tcMar>
              <w:bottom w:w="28" w:type="dxa"/>
            </w:tcMar>
            <w:vAlign w:val="center"/>
          </w:tcPr>
          <w:p>
            <w:pPr>
              <w:pStyle w:val="TableContents"/>
              <w:bidi w:val="0"/>
              <w:spacing w:before="0" w:after="283"/>
              <w:jc w:val="right"/>
              <w:rPr/>
            </w:pPr>
            <w:r>
              <w:rPr/>
              <w:t>43</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Preferred stock accretion</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6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5,305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18"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41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 w:name="a_005"/>
      <w:bookmarkEnd w:id="39"/>
      <w:r>
        <w:rPr>
          <w:rFonts w:ascii="Times New Roman;Times;Serif" w:hAnsi="Times New Roman;Times;Serif"/>
          <w:b/>
          <w:i w:val="false"/>
          <w:caps w:val="false"/>
          <w:smallCaps w:val="false"/>
          <w:sz w:val="20"/>
        </w:rPr>
        <w:t>KIRA PHARMACEUTICALS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CONDENSED CONSOLIDATED FINANCIAL STATEMENTS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Business, Basis of Presentation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Kira Pharmaceuticals and subsidiaries (the “Company”) is a biotechnology company that was incorporated as an exempted company in the Cayman Islands with limited liability in June 2017. The Company has operations in the United States, People’s Republic of China (“China”) and Australia. All subsidiaries are wholly-owned. The Company’s subsidiaries formed in China are Kira Pharmaceuticals (Hong Kong) Limited (“Kira Hong Kong”), Kira Pharmaceuticals (Suzhou) Limited (“Kira Suzhou”), and Kira Pharmaceuticals (Shanghai) Limited (“Kira Shanghai”). Additionally, the Company’s subsidiaries formed in the United States and Australia are Kira Pharmaceuticals (US) LLC and Kira Pharmaceuticals (Australia) PTY LTD, respectively. The Company is a clinical-stage biopharmaceutical company engaged in the discovery and development of novel therapeutics to treat complement-mediated diseases.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Former Redeemable Convertible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outstanding redeemable preferred stock that was classified within mezzanine equity. On August 31, 2025, all outstanding redeemable preferred shares were converted into shares of the Company’s common stock in accordance with the terms of the governing agreements. Upon conversion, the carrying value of the redeemable preferred stock, including any related accretion recognized through the conversion date, was reclassified from mezzanine equity to stockholders’ equity. As a result of the conversion, no redeemable preferred stock was outstanding as of June 30, 2026 or December 31, 2025, and therefore no redeemable preferred stock balance is presented in the accompanying balance sheets. Historical activity related to the redeemable preferred stock is reflected in the statement of changes in redeemable convertible preferred stock and stockholders’ deficit for the comparative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Updates (“ASU”) issued by the Financial Accounting Standards Board (“FASB”).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all adjustments, consisting only of normal recurring adjustments, necessary for a fair presentation of the Company’s financial position, results of operations, and cash flows for the interim periods presented. The results of operations for interim periods are not necessarily indicative of the results that may be expected for the full fiscal year or any future period. These unaudited condensed consolidated financial statements should be read in conjunction with the audited consolidated financial statements and related notes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the accounts of the Company and its wholly owned subsidiaries. All intercompany transactions and balances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 and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common to companies in the biotechnology industry, including, but not limited to, successful development of technology, obtaining additional funding, protection of proprietary technology, compliance with government regulations, risks of failure of preclinical studies, clinical studies and clinical trials, the need to obtain marketing approval for its product candidates and the ability to successfully market its therapies for any products that receive approval, fluctuations in operating results, economic pressure impacting therapeutic pricing, dependence on key personnel, risks associated with changes in technologies, development by competitors of technological innovations and the ability to scale manufacturing to large scale production.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 and reporting capabilities. Even if the Company’s development efforts are successful, it is uncertain when, if ever, the Company will realize significant revenue from therapy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z w:val="20"/>
          <w:shd w:fill="FFFFFF" w:val="clear"/>
        </w:rPr>
        <w:t>Company has incurred a loss since inception resulting in an accumulated deficit of $184.2 million as of June 30, 2026 and further losses are anticipated in the development of its business. For the six months ended June 30, 2026, the Company has operating cash outflows of $3.5 million and had a loss from operations of $2.6 million. Since inception, being a research and de</w:t>
      </w:r>
      <w:r>
        <w:rPr>
          <w:rFonts w:ascii="Times New Roman;Times;Serif" w:hAnsi="Times New Roman;Times;Serif"/>
          <w:b w:val="false"/>
          <w:i w:val="false"/>
          <w:caps w:val="false"/>
          <w:smallCaps w:val="false"/>
          <w:sz w:val="20"/>
        </w:rPr>
        <w:t>velopment company, the Company has not yet generated revenue and the Company has incurred continuing losses from its operations. The Company is subject to risks common to biotechnology companies, including technology development, regulatory approval, clinical outcomes, commercialization, competition, manufacturing scale-up and the need for additional funding. The Company’s operations have been funded principally through the issuance of debt and equity. These factors raised substantial doubt about the Company’s ability to continue as a going concern for a period of one year from the date the consolidated financial statements were available to be issued.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completed the merger with Jasper Therapeutics, Inc. (“Jasper”), at which time Jasper completed a private placement financing through the sale of non-voting convertible preferred stock, resulting in gross proceeds of $132.0 million (see Note 12). Jasper has agreed to seek a stockholder vote to convert the Non-Voting Convertible Preferred Stock within 120 days from the closing of the merger. In addition, in the event the Company is unable to obtain stockholder approval of the conversion of the Non-Voting Convertible Preferred Stock within 12 months of the closing of the Merger, holders have the right to require the Company to repurchase the Non-Voting Convertible Preferred Stock at the then current fair market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satisfaction of liabilities in the ordinary course of business. These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accounting policy updates discussed below, the Company’s significant accounting policies have not materially changed from those disclosed in Note 2, Summary of Significant Accounting Policies, included in the audited consolidated financial statements for the years ended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acquisitions of assets and other similar transactions to assess whether or not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so, the transaction is accounted for as an asset acquisition. If not, further determination is required as to whether or not the Company has acquired inputs and processes that have the ability to create outputs, which would meet the definition of a business. Significant judgment is required in the application of the test to determine whether an acquisition is a business combination or an acquisition of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meeting the definition of business combinations are accounted for using the acquisition method of accounting, which requires that the purchase price be allocated to the net assets acquired at their respective fair values. In a business combination, any excess of the purchase price over the estimated fair values of the net assets acquired is recorded as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asset acquisitions that are not deemed to be business combinations based on the cost to acquire the assets, which includes direct transaction costs. Goodwill is not recognized in asset acquisitions. When a transaction accounted for as an asset acquisition includes an in-process research and development (“IPR&amp;D”) asset, the IPR&amp;D asset is only capitalized if it has an alternative future use other than in a particular research and development project. Otherwise, the cost allocated to acquire an IPR&amp;D asset with no alternative future use is charged to expense at the acquisition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Simple Agreements for Future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Simple Agreements for Future Equity (“SAFEs”), which are freestanding financial instruments that may convert into equity securities upon the occurrence of specified future financing events in accordance with the terms of the agreements. The SAFEs also contain provisions that may require settlement based on the occurrence of certain liquidity or dissolution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the SAFEs in accordance with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The Company concluded that the SAFEs represent freestanding financial instruments that embody a conditional obligation that may be settled in a variable number of shares with a monetary value based on a fixed amount. Accordingly, the SAFEs are classified as liabilities and presented as SAFE liabilities on the condensed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liabilities are initially measured at fair value upon issuance and subsequently remeasured to fair value at each reporting date, with changes in fair value recognized in the condensed consolidated statements of operations and comprehensive loss. Upon conversion or settlement, the carrying amount of the SAFE liabilities is reclassified to stockholders’ equity or settled in cash, as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contingent liabilities in accordance with ASC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This guidance requires the Company to assess potential contingent liabilities that may exist as of the date of the financial statements to determine the probability and amount of loss that may have occurred. If the assessment of a contingency indicates that it is probable that a material loss has been incurred and the amount of the liability can be estimated, then the estimated liability would be accrued in the Company’s consolidated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contingencies considered remote, no accrual or disclosures are generally made.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entered into agreements with vendors to settle outstanding payables. Pursuant to the agreements with certain vendors, the Company was required to make payments upon a qualified transaction, as defined within the agreements. The amount of contingent liabilities was fixed within the vendors’ agreements as a percentage of the total outstanding balance that was settled. As of June 30, 2026, the Company determined that it was probable that the qualified transaction would occur and therefore the Company recognized contingent liabilities for these certain agreements in the amount of $48.3 thousand. which is included in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accounts payable settlement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enter into agreements with vendors to settle outstanding payables for amounts less than the recorded liability. When such arrangements result in the Company being legally released from its obligation and the liability is settled, the Company derecognizes the amount of the accounts payable that is settled and records a corresponding gain in earnings in accordance with ASC 405, </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During the six months ended June 30, 2026, the Company recorded $1.3 million of gains from the settlement such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update requires entities to disaggregate operating expenses into specific categories, such as salaries and wages, depreciation, and amortization, to provide enhanced transparency into the nature and function of expenses. In January 2025, the FASB issued ASU 2025-01, clarifying the effective date of ASU 2024-03 to be fiscal years beginning after December 15, 2026, with early adoption permitted, and interim periods beginning after December 15, 2027. ASU 2024-03 may be applied retrospectively or prospectively. The Company is currently evaluating the impact of ASU 2024-03 on its financial statement presentation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FASB issued ASU 2025-03, </w:t>
      </w:r>
      <w:r>
        <w:rPr>
          <w:rFonts w:ascii="Times New Roman;Times;Serif" w:hAnsi="Times New Roman;Times;Serif"/>
          <w:b w:val="false"/>
          <w:i/>
          <w:caps w:val="false"/>
          <w:smallCaps w:val="false"/>
          <w:sz w:val="20"/>
        </w:rPr>
        <w:t>Business Combinations (Topic 805) and Consolidation (Topic 810)</w:t>
      </w:r>
      <w:r>
        <w:rPr>
          <w:rFonts w:ascii="Times New Roman;Times;Serif" w:hAnsi="Times New Roman;Times;Serif"/>
          <w:b w:val="false"/>
          <w:i w:val="false"/>
          <w:caps w:val="false"/>
          <w:smallCaps w:val="false"/>
          <w:sz w:val="20"/>
        </w:rPr>
        <w:t>: Determining the Accounting Acquirer in the Acquisition of a Variable Interest Entity, which clarifies how to determine the accounting acquirer in transactions involving variable interest entities. The amendments are effective for fiscal years beginning after December 15, 2026, including interim periods within those fiscal years. Early adoption is permitted. The Company is currently evaluating the impact of ASU 2025-03 on its financial statements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Prepaid Expenses and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 consisted of the following (in thousands):</w:t>
      </w:r>
    </w:p>
    <w:p>
      <w:pPr>
        <w:pStyle w:val="TextBody"/>
        <w:bidi w:val="0"/>
        <w:spacing w:before="0" w:after="0"/>
        <w:ind w:left="0" w:right="0" w:hanging="0"/>
        <w:jc w:val="center"/>
        <w:rPr>
          <w:caps w:val="false"/>
          <w:smallCaps w:val="false"/>
        </w:rPr>
      </w:pPr>
      <w:r>
        <w:rPr>
          <w:caps w:val="false"/>
          <w:smallCaps w:val="false"/>
        </w:rPr>
        <w:t> </w:t>
      </w:r>
    </w:p>
    <w:tbl>
      <w:tblPr>
        <w:tblW w:w="6298" w:type="dxa"/>
        <w:jc w:val="left"/>
        <w:tblInd w:w="0" w:type="dxa"/>
        <w:tblLayout w:type="fixed"/>
        <w:tblCellMar>
          <w:top w:w="0" w:type="dxa"/>
          <w:left w:w="0" w:type="dxa"/>
          <w:bottom w:w="0" w:type="dxa"/>
          <w:right w:w="0" w:type="dxa"/>
        </w:tblCellMar>
      </w:tblPr>
      <w:tblGrid>
        <w:gridCol w:w="3755"/>
        <w:gridCol w:w="60"/>
        <w:gridCol w:w="235"/>
        <w:gridCol w:w="639"/>
        <w:gridCol w:w="60"/>
        <w:gridCol w:w="60"/>
        <w:gridCol w:w="380"/>
        <w:gridCol w:w="1034"/>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Prepaid expenses - current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180</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Prepaid employee compensation</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FFFFFF" w:val="clear"/>
            <w:tcMar>
              <w:bottom w:w="28" w:type="dxa"/>
            </w:tcMar>
            <w:vAlign w:val="center"/>
          </w:tcPr>
          <w:p>
            <w:pPr>
              <w:pStyle w:val="TableContents"/>
              <w:bidi w:val="0"/>
              <w:spacing w:before="0" w:after="283"/>
              <w:jc w:val="right"/>
              <w:rPr/>
            </w:pPr>
            <w:r>
              <w:rPr/>
              <w:t>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Total prepaid expenses and other assets</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180</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Deferred tax assets - long-term</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FFFFFF" w:val="clear"/>
            <w:tcMar>
              <w:bottom w:w="28" w:type="dxa"/>
            </w:tcMar>
            <w:vAlign w:val="center"/>
          </w:tcPr>
          <w:p>
            <w:pPr>
              <w:pStyle w:val="TableContents"/>
              <w:bidi w:val="0"/>
              <w:spacing w:before="0" w:after="283"/>
              <w:jc w:val="right"/>
              <w:rPr/>
            </w:pPr>
            <w:r>
              <w:rPr/>
              <w:t>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308</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Total other noncurrent assets</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308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Accrued Expenses and Other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620" w:type="dxa"/>
        <w:jc w:val="left"/>
        <w:tblInd w:w="0" w:type="dxa"/>
        <w:tblLayout w:type="fixed"/>
        <w:tblCellMar>
          <w:top w:w="0" w:type="dxa"/>
          <w:left w:w="0" w:type="dxa"/>
          <w:bottom w:w="0" w:type="dxa"/>
          <w:right w:w="0" w:type="dxa"/>
        </w:tblCellMar>
      </w:tblPr>
      <w:tblGrid>
        <w:gridCol w:w="5075"/>
        <w:gridCol w:w="60"/>
        <w:gridCol w:w="175"/>
        <w:gridCol w:w="700"/>
        <w:gridCol w:w="60"/>
        <w:gridCol w:w="60"/>
        <w:gridCol w:w="283"/>
        <w:gridCol w:w="1132"/>
        <w:gridCol w:w="75"/>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Accrued expenses and other current liabilities:</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Accrued research and development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374</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Accrued general and administrative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180</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Accrued employee compensation and related benefits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Other current liabilities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40</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pPr>
            <w:r>
              <w:rPr/>
              <w:t>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606</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Long-term taxes payable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1,182</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Total other noncurrent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pPr>
            <w:r>
              <w:rPr/>
              <w:t>1,294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1,192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Simple Agreements for Future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2026, the Company entered into Simple Agreements for Future Equity (“SAFEs”) with investors. Under the terms of the SAFEs, the Company received aggregate gross proceeds of $5.1 million. The SAFEs remain outstanding until the occurrence of certain triggering events, including (i) Private Investment in Public Equity (“PIPE”) conversion, (ii) an equity financing, (iii) a liquidity event such as a merger, acquisition, or other business combination, or (iv) a dissolution event. Upon a PIPE conversion, the SAFEs will automatically convert into the same class of securities issued in a PIPE at a discounted share price of 70%. Upon an equity financing, the SAFEs will automatically convert into preferred shares at the greater of (a) the lowest price per share issued in the equity financing or (b) a price per share based on a valuation cap. In a liquidity event, the investor of the SAFE receives either a portion of proceeds or shares of the Company’s common stock equal to the greater of the purchase amount or the amount payable on the number of shares of common stock equal to the purchase amount divided by the liquidity price.  In the event of a dissolution event, the investor of the SAFE will be entitled to receive cash equal to the purchase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assets and liabilities that are measured at fair value on a recurring basis and indicate the level of the fair value hierarchy used to determine such fair values as of June 30, 2026 (in thousands):</w:t>
      </w:r>
    </w:p>
    <w:p>
      <w:pPr>
        <w:pStyle w:val="TextBody"/>
        <w:bidi w:val="0"/>
        <w:spacing w:before="0" w:after="0"/>
        <w:ind w:left="0" w:right="0" w:firstLine="360"/>
        <w:jc w:val="both"/>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2300"/>
        <w:gridCol w:w="60"/>
        <w:gridCol w:w="449"/>
        <w:gridCol w:w="306"/>
        <w:gridCol w:w="60"/>
        <w:gridCol w:w="60"/>
        <w:gridCol w:w="449"/>
        <w:gridCol w:w="306"/>
        <w:gridCol w:w="60"/>
        <w:gridCol w:w="60"/>
        <w:gridCol w:w="151"/>
        <w:gridCol w:w="604"/>
        <w:gridCol w:w="60"/>
        <w:gridCol w:w="60"/>
        <w:gridCol w:w="140"/>
        <w:gridCol w:w="560"/>
        <w:gridCol w:w="7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SAFE liabilities</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pPr>
            <w:r>
              <w:rPr/>
              <w:t>7,214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7,214</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Total financial liabilities</w:t>
            </w:r>
          </w:p>
        </w:tc>
        <w:tc>
          <w:tcPr>
            <w:tcW w:w="60" w:type="dxa"/>
            <w:tcBorders/>
            <w:shd w:fill="FFFFFF" w:val="clear"/>
            <w:vAlign w:val="center"/>
          </w:tcPr>
          <w:p>
            <w:pPr>
              <w:pStyle w:val="TableContents"/>
              <w:bidi w:val="0"/>
              <w:spacing w:before="0" w:after="283"/>
              <w:jc w:val="left"/>
              <w:rPr/>
            </w:pPr>
            <w:r>
              <w:rPr/>
              <w:t> </w:t>
            </w:r>
          </w:p>
        </w:tc>
        <w:tc>
          <w:tcPr>
            <w:tcW w:w="4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30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30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pPr>
            <w:r>
              <w:rPr/>
              <w:t>7,214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7,214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equivalents are comprised of funds held in an exchange traded money market fund and the fair value of the cash equivalents is determined based upon quoted market price for that fund. There were no transfers among Level 1, Level 2, or Level 3 categories in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measures its SAFE liabilities at fair value on a recurring basis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the SAFE liability is classified as a Level 3 measurement within the fair value hierarchy because the valuation incorporates significant unobservable inputs and management judgment regarding the probability and timing of future conversion and liquidity events. The fair value of the SAFE liability is reassessed at each reporting date, with changes in fair value recognized in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concluded that the fair value of the SAFE liabilities approximated the value of the shares issued to the SAFE investors as part of the merger with Jasper Therapeutics discussed in Note 12, which was determined to be $7.2 million. As such, the Company recognized a loss upon issuance of the SAFEs in the amount of $2.2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no material change in fair value had occurred between the issuance date of June 24, 2026 and June 30, 2026 due to the short period between issuance and the reporting date and the absence of any triggering conversion or settlement event during that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summary of the changes in the fair value of the Company’s Level 3 liabilities:</w:t>
      </w:r>
    </w:p>
    <w:p>
      <w:pPr>
        <w:pStyle w:val="TextBody"/>
        <w:bidi w:val="0"/>
        <w:spacing w:before="0" w:after="0"/>
        <w:ind w:left="0" w:right="0" w:firstLine="360"/>
        <w:jc w:val="both"/>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3635"/>
        <w:gridCol w:w="60"/>
        <w:gridCol w:w="140"/>
        <w:gridCol w:w="560"/>
        <w:gridCol w:w="75"/>
      </w:tblGrid>
      <w:tr>
        <w:trPr/>
        <w:tc>
          <w:tcPr>
            <w:tcW w:w="363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Issuance of SAFEs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7,214</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Change in fair value during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Balance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7,214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financial instruments, including cash, prepaid and other current assets, trade accounts payable, and accrued expenses and other current liabilities, approximate fair value due to their short maturities. None of the Company’s non-financial assets or liabilities are recorded at fair value on a non-recurring basis. There are uncertainties on the fair value measurement of the instrument classified under Level 3 due to the use of unobservable inputs and interrelationships between these unobservable inputs, which could result in higher or lower fair value measurements.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March 2026, the Company entered into a Preferred Shares Investment Agreement (the “Investment Agreement”) with certain purchasers, relating to the issuance and sale by the Company of up to 6,865,323 preferred shares, par value $0.01 per share (the “Preferred Shares”), at a purchase price of $2.184892 per share, for aggregate proceeds of up to $15.0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 completed the initial closing under the Investment Agreement, issuing and selling 3,661,504 Preferred Shares for aggregate gross proceeds of approximately $8.0 million.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connection with the issuance of the Preferred Shares, the Company incurred direct and incremental expenses of </w:t>
      </w:r>
      <w:r>
        <w:rPr>
          <w:rFonts w:ascii="Times New Roman;Times;Serif" w:hAnsi="Times New Roman;Times;Serif"/>
          <w:b w:val="false"/>
          <w:i w:val="false"/>
          <w:caps w:val="false"/>
          <w:smallCaps w:val="false"/>
          <w:sz w:val="20"/>
        </w:rPr>
        <w:t xml:space="preserve">$42 thousand, </w:t>
      </w:r>
      <w:r>
        <w:rPr>
          <w:rFonts w:ascii="Times New Roman;Times;Serif" w:hAnsi="Times New Roman;Times;Serif"/>
          <w:b w:val="false"/>
          <w:i w:val="false"/>
          <w:caps w:val="false"/>
          <w:smallCaps w:val="false"/>
          <w:sz w:val="20"/>
          <w:shd w:fill="FFFFFF" w:val="clear"/>
        </w:rPr>
        <w:t>comprised primarily of legal fees, which were recorded as a reduction of additional paid-in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 evaluated the Preferred Shares under ASC 480, </w:t>
      </w:r>
      <w:r>
        <w:rPr>
          <w:rFonts w:ascii="Times New Roman;Times;Serif" w:hAnsi="Times New Roman;Times;Serif"/>
          <w:b w:val="false"/>
          <w:i/>
          <w:caps w:val="false"/>
          <w:smallCaps w:val="false"/>
          <w:sz w:val="20"/>
          <w:shd w:fill="FFFFFF" w:val="clear"/>
        </w:rPr>
        <w:t>Distinguishing Liabilities from Equity</w:t>
      </w:r>
      <w:r>
        <w:rPr>
          <w:rFonts w:ascii="Times New Roman;Times;Serif" w:hAnsi="Times New Roman;Times;Serif"/>
          <w:b w:val="false"/>
          <w:i w:val="false"/>
          <w:caps w:val="false"/>
          <w:smallCaps w:val="false"/>
          <w:sz w:val="20"/>
          <w:shd w:fill="FFFFFF" w:val="clear"/>
        </w:rPr>
        <w:t xml:space="preserve">, and ASC 815, </w:t>
      </w:r>
      <w:r>
        <w:rPr>
          <w:rFonts w:ascii="Times New Roman;Times;Serif" w:hAnsi="Times New Roman;Times;Serif"/>
          <w:b w:val="false"/>
          <w:i/>
          <w:caps w:val="false"/>
          <w:smallCaps w:val="false"/>
          <w:sz w:val="20"/>
          <w:shd w:fill="FFFFFF" w:val="clear"/>
        </w:rPr>
        <w:t>Derivatives and Hedging</w:t>
      </w:r>
      <w:r>
        <w:rPr>
          <w:rFonts w:ascii="Times New Roman;Times;Serif" w:hAnsi="Times New Roman;Times;Serif"/>
          <w:b w:val="false"/>
          <w:i w:val="false"/>
          <w:caps w:val="false"/>
          <w:smallCaps w:val="false"/>
          <w:sz w:val="20"/>
          <w:shd w:fill="FFFFFF" w:val="clear"/>
        </w:rPr>
        <w:t>, and determined that the Preferred Shares are not required to be classified as a liability and that no embedded features require bifurcation and separate accounting as derivative instruments. The Preferred Shares are not redeemable at a fixed or determinable date, at the option of the holders, or upon the occurrence of an event outside the Company’s control, and accordingly are classified within permanent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holders of the Preferred Stock have the following rights and preferences: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Voting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Each Preferred Share entitles the holder to receive notice of, attend, and vote at any general meeting of the Company. However, holders of Preferred Shares are not entitled to vote at any meeting of Members (as defined in the Companies Act of the Cayman Islands). Additionally, approval from holders of a majority of the Preferred Shares, voting separately as a class, is required for certain matters, including actions that adversely affect the Preferred Shares, to issue senior or pari passu shares, to liquidate or wind up the Company, to complete a merger or sale of substantially all assets, or to change the authorized number of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Redemption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Preferred Shares are perpetual instruments with no stated maturity date. The holders have no right to require the Company to redeem or repurchase the Preferred Shares, and the Preferred Shares contain no mandatory redemption provision.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holders of Preferred Shares participate pro rata with the Ordinary Shares in any dividends or distributions, if and when declared by the Board. No dividends were declared or paid on the Preferred Shares during the six months ended June 30,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Liquidation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the event of a liquidation, dissolution, or winding up of the Company (whether voluntary or involuntary), holders of Preferred Shares are entitled to receive, in priority to holders of Ordinary Shares, the Liquidation Preference, equal to the original issue price paid for each Preferred Share plus any declared but unpaid dividends.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Stock 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9, 2017, the Company adopted the 2017 Stock Plan (the “2017 Plan”). The 2017 Plan, as amended, provides for the issuance of up to 3,458,090 </w:t>
      </w:r>
      <w:r>
        <w:rPr>
          <w:rFonts w:ascii="Times New Roman;Times;Serif" w:hAnsi="Times New Roman;Times;Serif"/>
          <w:b w:val="false"/>
          <w:i w:val="false"/>
          <w:caps w:val="false"/>
          <w:smallCaps w:val="false"/>
          <w:sz w:val="20"/>
          <w:shd w:fill="FFFFFF" w:val="clear"/>
        </w:rPr>
        <w:t>shares</w:t>
      </w:r>
      <w:r>
        <w:rPr>
          <w:rFonts w:ascii="Times New Roman;Times;Serif" w:hAnsi="Times New Roman;Times;Serif"/>
          <w:b w:val="false"/>
          <w:i w:val="false"/>
          <w:caps w:val="false"/>
          <w:smallCaps w:val="false"/>
          <w:sz w:val="20"/>
        </w:rPr>
        <w:t xml:space="preserve"> of common stock to employees, officers, directors, consultants, and advisors in the form of non-qualified and incentive stock options, unvested stock awards, and other stock-based awards. At June 30, 2026, there were 1,13</w:t>
      </w:r>
      <w:r>
        <w:rPr>
          <w:rFonts w:ascii="Times New Roman;Times;Serif" w:hAnsi="Times New Roman;Times;Serif"/>
          <w:b w:val="false"/>
          <w:i w:val="false"/>
          <w:caps w:val="false"/>
          <w:smallCaps w:val="false"/>
          <w:sz w:val="20"/>
          <w:shd w:fill="FFFFFF" w:val="clear"/>
        </w:rPr>
        <w:t>1,009</w:t>
      </w:r>
      <w:r>
        <w:rPr>
          <w:rFonts w:ascii="Times New Roman;Times;Serif" w:hAnsi="Times New Roman;Times;Serif"/>
          <w:b w:val="false"/>
          <w:i w:val="false"/>
          <w:caps w:val="false"/>
          <w:smallCaps w:val="false"/>
          <w:sz w:val="20"/>
        </w:rPr>
        <w:t xml:space="preserve"> shares of common stock available for issuance under the 2017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 option activity under the 2017 Plan:</w:t>
      </w:r>
    </w:p>
    <w:p>
      <w:pPr>
        <w:pStyle w:val="TextBody"/>
        <w:bidi w:val="0"/>
        <w:spacing w:before="0" w:after="0"/>
        <w:ind w:left="0" w:right="0" w:hanging="0"/>
        <w:jc w:val="left"/>
        <w:rPr>
          <w:caps w:val="false"/>
          <w:smallCaps w:val="false"/>
        </w:rPr>
      </w:pPr>
      <w:r>
        <w:rPr>
          <w:caps w:val="false"/>
          <w:smallCaps w:val="false"/>
        </w:rPr>
        <w:t> </w:t>
      </w:r>
    </w:p>
    <w:tbl>
      <w:tblPr>
        <w:tblW w:w="8844" w:type="dxa"/>
        <w:jc w:val="left"/>
        <w:tblInd w:w="0" w:type="dxa"/>
        <w:tblLayout w:type="fixed"/>
        <w:tblCellMar>
          <w:top w:w="0" w:type="dxa"/>
          <w:left w:w="0" w:type="dxa"/>
          <w:bottom w:w="0" w:type="dxa"/>
          <w:right w:w="0" w:type="dxa"/>
        </w:tblCellMar>
      </w:tblPr>
      <w:tblGrid>
        <w:gridCol w:w="4340"/>
        <w:gridCol w:w="60"/>
        <w:gridCol w:w="60"/>
        <w:gridCol w:w="980"/>
        <w:gridCol w:w="95"/>
        <w:gridCol w:w="60"/>
        <w:gridCol w:w="292"/>
        <w:gridCol w:w="1168"/>
        <w:gridCol w:w="60"/>
        <w:gridCol w:w="60"/>
        <w:gridCol w:w="190"/>
        <w:gridCol w:w="1404"/>
        <w:gridCol w:w="75"/>
      </w:tblGrid>
      <w:tr>
        <w:trPr/>
        <w:tc>
          <w:tcPr>
            <w:tcW w:w="4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Stock</w:t>
              <w:br/>
              <w:t>Options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 Life</w:t>
              <w:br/>
              <w:t>(in Years)</w:t>
            </w:r>
          </w:p>
        </w:tc>
        <w:tc>
          <w:tcPr>
            <w:tcW w:w="75" w:type="dxa"/>
            <w:tcBorders/>
            <w:vAlign w:val="center"/>
          </w:tcPr>
          <w:p>
            <w:pPr>
              <w:pStyle w:val="TableContents"/>
              <w:bidi w:val="0"/>
              <w:spacing w:before="0" w:after="283"/>
              <w:jc w:val="center"/>
              <w:rPr/>
            </w:pPr>
            <w:r>
              <w:rPr/>
              <w:t> </w:t>
            </w:r>
          </w:p>
        </w:tc>
      </w:tr>
      <w:tr>
        <w:trPr/>
        <w:tc>
          <w:tcPr>
            <w:tcW w:w="434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143,811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6.95</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2,225,281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p>
        </w:tc>
        <w:tc>
          <w:tcPr>
            <w:tcW w:w="1168" w:type="dxa"/>
            <w:tcBorders/>
            <w:shd w:fill="FFFFFF" w:val="clear"/>
            <w:vAlign w:val="center"/>
          </w:tcPr>
          <w:p>
            <w:pPr>
              <w:pStyle w:val="TableContents"/>
              <w:bidi w:val="0"/>
              <w:spacing w:before="0" w:after="283"/>
              <w:jc w:val="right"/>
              <w:rPr/>
            </w:pPr>
            <w:r>
              <w:rPr/>
              <w:t>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(40,975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28.26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2,327,081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04" w:type="dxa"/>
            <w:tcBorders>
              <w:bottom w:val="double" w:sz="10" w:space="0" w:color="000000"/>
            </w:tcBorders>
            <w:shd w:fill="CCEEFF" w:val="clear"/>
            <w:tcMar>
              <w:bottom w:w="28" w:type="dxa"/>
            </w:tcMar>
            <w:vAlign w:val="center"/>
          </w:tcPr>
          <w:p>
            <w:pPr>
              <w:pStyle w:val="TableContents"/>
              <w:bidi w:val="0"/>
              <w:spacing w:before="0" w:after="283"/>
              <w:jc w:val="right"/>
              <w:rPr/>
            </w:pPr>
            <w:r>
              <w:rPr/>
              <w:t>9.73</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Stock options unvested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1,708,060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FFFFFF" w:val="clear"/>
            <w:tcMar>
              <w:bottom w:w="28" w:type="dxa"/>
            </w:tcMar>
            <w:vAlign w:val="center"/>
          </w:tcPr>
          <w:p>
            <w:pPr>
              <w:pStyle w:val="TableContents"/>
              <w:bidi w:val="0"/>
              <w:spacing w:before="0" w:after="283"/>
              <w:jc w:val="right"/>
              <w:rPr/>
            </w:pPr>
            <w:r>
              <w:rPr/>
              <w:t>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04" w:type="dxa"/>
            <w:tcBorders>
              <w:bottom w:val="double" w:sz="10" w:space="0" w:color="000000"/>
            </w:tcBorders>
            <w:shd w:fill="FFFFFF" w:val="clear"/>
            <w:tcMar>
              <w:bottom w:w="28" w:type="dxa"/>
            </w:tcMar>
            <w:vAlign w:val="center"/>
          </w:tcPr>
          <w:p>
            <w:pPr>
              <w:pStyle w:val="TableContents"/>
              <w:bidi w:val="0"/>
              <w:spacing w:before="0" w:after="283"/>
              <w:jc w:val="right"/>
              <w:rPr/>
            </w:pPr>
            <w:r>
              <w:rPr/>
              <w:t>9.87</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Stock options exercisable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619,021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04" w:type="dxa"/>
            <w:tcBorders>
              <w:bottom w:val="double" w:sz="10" w:space="0" w:color="000000"/>
            </w:tcBorders>
            <w:shd w:fill="CCEEFF" w:val="clear"/>
            <w:tcMar>
              <w:bottom w:w="28" w:type="dxa"/>
            </w:tcMar>
            <w:vAlign w:val="center"/>
          </w:tcPr>
          <w:p>
            <w:pPr>
              <w:pStyle w:val="TableContents"/>
              <w:bidi w:val="0"/>
              <w:spacing w:before="0" w:after="283"/>
              <w:jc w:val="right"/>
              <w:rPr/>
            </w:pPr>
            <w:r>
              <w:rPr/>
              <w:t>9.35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grant-date fair value of stock options granted during the six months ended June 30, 2026 was $0.08 per option and was nominal during the six months ended June 30, 2025. There was $139 thousand of unrecognized stock-based compensation expense related to unvested stock options as of June 30, 2026, which will be recognized over a weighted-average period of 3.6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the Company granted 2,225,281 and 60,370 options, respectively. There were no options exercised during the six months ended June 30, 2026 and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allocation of stock-based compensation expense related to the Company’s stock-based awards (in thousands):</w:t>
      </w:r>
    </w:p>
    <w:p>
      <w:pPr>
        <w:pStyle w:val="TextBody"/>
        <w:bidi w:val="0"/>
        <w:spacing w:before="0" w:after="0"/>
        <w:ind w:left="0" w:right="0" w:firstLine="360"/>
        <w:jc w:val="both"/>
        <w:rPr>
          <w:caps w:val="false"/>
          <w:smallCaps w:val="false"/>
        </w:rPr>
      </w:pPr>
      <w:r>
        <w:rPr>
          <w:caps w:val="false"/>
          <w:smallCaps w:val="false"/>
        </w:rPr>
        <w:t> </w:t>
      </w:r>
    </w:p>
    <w:tbl>
      <w:tblPr>
        <w:tblW w:w="6022" w:type="dxa"/>
        <w:jc w:val="left"/>
        <w:tblInd w:w="0" w:type="dxa"/>
        <w:tblLayout w:type="fixed"/>
        <w:tblCellMar>
          <w:top w:w="0" w:type="dxa"/>
          <w:left w:w="0" w:type="dxa"/>
          <w:bottom w:w="0" w:type="dxa"/>
          <w:right w:w="0" w:type="dxa"/>
        </w:tblCellMar>
      </w:tblPr>
      <w:tblGrid>
        <w:gridCol w:w="3065"/>
        <w:gridCol w:w="60"/>
        <w:gridCol w:w="429"/>
        <w:gridCol w:w="798"/>
        <w:gridCol w:w="184"/>
        <w:gridCol w:w="184"/>
        <w:gridCol w:w="429"/>
        <w:gridCol w:w="798"/>
        <w:gridCol w:w="75"/>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w:t>
            </w:r>
          </w:p>
        </w:tc>
        <w:tc>
          <w:tcPr>
            <w:tcW w:w="798" w:type="dxa"/>
            <w:tcBorders/>
            <w:shd w:fill="CCEEFF" w:val="clear"/>
            <w:vAlign w:val="center"/>
          </w:tcPr>
          <w:p>
            <w:pPr>
              <w:pStyle w:val="TableContents"/>
              <w:bidi w:val="0"/>
              <w:spacing w:before="0" w:after="283"/>
              <w:jc w:val="right"/>
              <w:rPr/>
            </w:pPr>
            <w:r>
              <w:rPr/>
              <w:t>74</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w:t>
            </w:r>
          </w:p>
        </w:tc>
        <w:tc>
          <w:tcPr>
            <w:tcW w:w="798" w:type="dxa"/>
            <w:tcBorders/>
            <w:shd w:fill="CCEEFF" w:val="clear"/>
            <w:vAlign w:val="center"/>
          </w:tcPr>
          <w:p>
            <w:pPr>
              <w:pStyle w:val="TableContents"/>
              <w:bidi w:val="0"/>
              <w:spacing w:before="0" w:after="283"/>
              <w:jc w:val="right"/>
              <w:rPr/>
            </w:pPr>
            <w:r>
              <w:rPr/>
              <w:t>47</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Total stock-based compensation</w:t>
            </w:r>
          </w:p>
        </w:tc>
        <w:tc>
          <w:tcPr>
            <w:tcW w:w="60" w:type="dxa"/>
            <w:tcBorders/>
            <w:shd w:fill="CCEEFF" w:val="clear"/>
            <w:vAlign w:val="center"/>
          </w:tcPr>
          <w:p>
            <w:pPr>
              <w:pStyle w:val="TableContents"/>
              <w:bidi w:val="0"/>
              <w:spacing w:before="0" w:after="283"/>
              <w:jc w:val="left"/>
              <w:rPr/>
            </w:pPr>
            <w:r>
              <w:rPr/>
              <w:t> </w:t>
            </w:r>
          </w:p>
        </w:tc>
        <w:tc>
          <w:tcPr>
            <w:tcW w:w="42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8" w:type="dxa"/>
            <w:tcBorders>
              <w:bottom w:val="double" w:sz="10" w:space="0" w:color="000000"/>
            </w:tcBorders>
            <w:shd w:fill="CCEEFF" w:val="clear"/>
            <w:tcMar>
              <w:bottom w:w="28" w:type="dxa"/>
            </w:tcMar>
            <w:vAlign w:val="center"/>
          </w:tcPr>
          <w:p>
            <w:pPr>
              <w:pStyle w:val="TableContents"/>
              <w:bidi w:val="0"/>
              <w:spacing w:before="0" w:after="283"/>
              <w:jc w:val="right"/>
              <w:rPr/>
            </w:pPr>
            <w:r>
              <w:rPr/>
              <w:t>79</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2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8" w:type="dxa"/>
            <w:tcBorders>
              <w:bottom w:val="double" w:sz="10" w:space="0" w:color="000000"/>
            </w:tcBorders>
            <w:shd w:fill="CCEEFF" w:val="clear"/>
            <w:tcMar>
              <w:bottom w:w="28" w:type="dxa"/>
            </w:tcMar>
            <w:vAlign w:val="center"/>
          </w:tcPr>
          <w:p>
            <w:pPr>
              <w:pStyle w:val="TableContents"/>
              <w:bidi w:val="0"/>
              <w:spacing w:before="0" w:after="283"/>
              <w:jc w:val="right"/>
              <w:rPr/>
            </w:pPr>
            <w:r>
              <w:rPr/>
              <w:t>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valuation assumptions used in determining the fair value of employee stock options:</w:t>
      </w:r>
    </w:p>
    <w:p>
      <w:pPr>
        <w:pStyle w:val="TextBody"/>
        <w:bidi w:val="0"/>
        <w:spacing w:before="0" w:after="0"/>
        <w:ind w:left="0" w:right="0" w:firstLine="540"/>
        <w:jc w:val="both"/>
        <w:rPr>
          <w:caps w:val="false"/>
          <w:smallCaps w:val="false"/>
        </w:rPr>
      </w:pPr>
      <w:r>
        <w:rPr>
          <w:caps w:val="false"/>
          <w:smallCaps w:val="false"/>
        </w:rPr>
        <w:t> </w:t>
      </w:r>
    </w:p>
    <w:tbl>
      <w:tblPr>
        <w:tblW w:w="6840" w:type="dxa"/>
        <w:jc w:val="left"/>
        <w:tblInd w:w="0" w:type="dxa"/>
        <w:tblLayout w:type="fixed"/>
        <w:tblCellMar>
          <w:top w:w="0" w:type="dxa"/>
          <w:left w:w="0" w:type="dxa"/>
          <w:bottom w:w="0" w:type="dxa"/>
          <w:right w:w="0" w:type="dxa"/>
        </w:tblCellMar>
      </w:tblPr>
      <w:tblGrid>
        <w:gridCol w:w="4580"/>
        <w:gridCol w:w="60"/>
        <w:gridCol w:w="60"/>
        <w:gridCol w:w="1910"/>
        <w:gridCol w:w="230"/>
      </w:tblGrid>
      <w:tr>
        <w:trPr/>
        <w:tc>
          <w:tcPr>
            <w:tcW w:w="4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910" w:type="dxa"/>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br/>
              <w:t>2026</w:t>
            </w:r>
          </w:p>
        </w:tc>
        <w:tc>
          <w:tcPr>
            <w:tcW w:w="230" w:type="dxa"/>
            <w:tcBorders/>
            <w:vAlign w:val="center"/>
          </w:tcPr>
          <w:p>
            <w:pPr>
              <w:pStyle w:val="TableContents"/>
              <w:bidi w:val="0"/>
              <w:spacing w:before="0" w:after="283"/>
              <w:jc w:val="center"/>
              <w:rPr/>
            </w:pPr>
            <w:r>
              <w:rPr/>
              <w:t> </w:t>
            </w:r>
          </w:p>
        </w:tc>
      </w:tr>
      <w:tr>
        <w:trPr/>
        <w:tc>
          <w:tcPr>
            <w:tcW w:w="458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4.2% - 4.4</w:t>
            </w:r>
          </w:p>
        </w:tc>
        <w:tc>
          <w:tcPr>
            <w:tcW w:w="230" w:type="dxa"/>
            <w:tcBorders/>
            <w:shd w:fill="CCEEFF" w:val="clear"/>
            <w:vAlign w:val="center"/>
          </w:tcPr>
          <w:p>
            <w:pPr>
              <w:pStyle w:val="TableContents"/>
              <w:bidi w:val="0"/>
              <w:spacing w:before="0" w:after="283"/>
              <w:jc w:val="left"/>
              <w:rPr/>
            </w:pPr>
            <w:r>
              <w:rPr/>
              <w:t>%</w:t>
            </w:r>
          </w:p>
        </w:tc>
      </w:tr>
      <w:tr>
        <w:trPr/>
        <w:tc>
          <w:tcPr>
            <w:tcW w:w="4580"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5.4 - 6.0</w:t>
            </w:r>
          </w:p>
        </w:tc>
        <w:tc>
          <w:tcPr>
            <w:tcW w:w="23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0.0</w:t>
            </w:r>
          </w:p>
        </w:tc>
        <w:tc>
          <w:tcPr>
            <w:tcW w:w="230" w:type="dxa"/>
            <w:tcBorders/>
            <w:shd w:fill="CCEEFF" w:val="clear"/>
            <w:vAlign w:val="center"/>
          </w:tcPr>
          <w:p>
            <w:pPr>
              <w:pStyle w:val="TableContents"/>
              <w:bidi w:val="0"/>
              <w:spacing w:before="0" w:after="283"/>
              <w:jc w:val="left"/>
              <w:rPr/>
            </w:pPr>
            <w:r>
              <w:rPr/>
              <w:t>%</w:t>
            </w:r>
          </w:p>
        </w:tc>
      </w:tr>
      <w:tr>
        <w:trPr/>
        <w:tc>
          <w:tcPr>
            <w:tcW w:w="4580" w:type="dxa"/>
            <w:tcBorders/>
            <w:shd w:fill="FFFFFF" w:val="clear"/>
            <w:vAlign w:val="center"/>
          </w:tcPr>
          <w:p>
            <w:pPr>
              <w:pStyle w:val="TableContents"/>
              <w:bidi w:val="0"/>
              <w:spacing w:before="0" w:after="283"/>
              <w:jc w:val="left"/>
              <w:rPr/>
            </w:pPr>
            <w:r>
              <w:rPr/>
              <w:t>Expected volatility of underlying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88.9% - 91.0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 provision and the resulting effective tax rate for interim periods is determined based upon its estimate annual effective tax rate adjusted for the effect of discrete items arising in that quarter. The provision for income taxes primarily consists of U.S. federal, Massachusetts, and Suzhou and several other foreign countries.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recorded an income tax expense of $87 thousand resulting in an effective tax rate of (2.65)%. For the six months ended June 30, 2025, the Company recorded an income tax expense of $66 thousand. The effective tax rate for the six months ended June 30, 2025, was (6.01)%.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effective tax rate from (6.01)% for the six months ended June 30, 2025 to (2.65)% for the six months ended June 30, 2026 primarily relates to the Increase in uncertain tax position activity related to the Suzhou entity and higher overall pre-tax losses, compared to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Improvements to Income Tax Disclosures (Topic 740)</w:t>
      </w:r>
      <w:r>
        <w:rPr>
          <w:rFonts w:ascii="Times New Roman;Times;Serif" w:hAnsi="Times New Roman;Times;Serif"/>
          <w:b w:val="false"/>
          <w:i w:val="false"/>
          <w:caps w:val="false"/>
          <w:smallCaps w:val="false"/>
          <w:sz w:val="20"/>
        </w:rPr>
        <w:t>, which requires incremental annual disclosures on income taxes, including rate reconciliations, income taxes paid, and other disclosures. The Company early adopted ASU 2023-09 effective January 1, 2025 on a retrospective basis. The ASU did not have a material impact on the Company’s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enacted in the U.S. The OBBBA includes significant provisions, such as the permanent extension of certain expiring provisions of the Tax Cuts and Jobs Act, modification to the international tax framework and the restoration of favorable tax treatment for certain business provisions. The legislation has multiple effective dates, with certain provisions effective in 2025 and other implemented through 2027. The new legislation has not had a material impact to the Company’s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offices under various non-cancelable leases that expire at various dates. Under certain leases, the Company is responsible for expenses related to operations, maintenance, repairs, and management fees that are accounted for as operating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for the six months ended June 30, 2026 and 2025 totaled $16 thousand and $15 thousand,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leases for its equipment and specialized spaces for company equipment have terms expiring at various dates through April 2027. Certain lease arrangements include renewal options and rights of first refusal for the lessee to purchase the applicable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and lease liabilities for operating leases were recorded in the condensed consolidated balance sheets as follows (in thousands):</w:t>
      </w:r>
    </w:p>
    <w:p>
      <w:pPr>
        <w:pStyle w:val="TextBody"/>
        <w:bidi w:val="0"/>
        <w:spacing w:before="0" w:after="0"/>
        <w:ind w:left="0" w:right="0" w:hanging="0"/>
        <w:jc w:val="both"/>
        <w:rPr>
          <w:caps w:val="false"/>
          <w:smallCaps w:val="false"/>
        </w:rPr>
      </w:pPr>
      <w:r>
        <w:rPr>
          <w:caps w:val="false"/>
          <w:smallCaps w:val="false"/>
        </w:rPr>
        <w:t> </w:t>
      </w:r>
    </w:p>
    <w:tbl>
      <w:tblPr>
        <w:tblW w:w="7063" w:type="dxa"/>
        <w:jc w:val="left"/>
        <w:tblInd w:w="0" w:type="dxa"/>
        <w:tblLayout w:type="fixed"/>
        <w:tblCellMar>
          <w:top w:w="0" w:type="dxa"/>
          <w:left w:w="0" w:type="dxa"/>
          <w:bottom w:w="0" w:type="dxa"/>
          <w:right w:w="0" w:type="dxa"/>
        </w:tblCellMar>
      </w:tblPr>
      <w:tblGrid>
        <w:gridCol w:w="4520"/>
        <w:gridCol w:w="60"/>
        <w:gridCol w:w="305"/>
        <w:gridCol w:w="569"/>
        <w:gridCol w:w="60"/>
        <w:gridCol w:w="60"/>
        <w:gridCol w:w="494"/>
        <w:gridCol w:w="920"/>
        <w:gridCol w:w="75"/>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b/>
              </w:rPr>
            </w:pPr>
            <w:r>
              <w:rPr>
                <w:b/>
              </w:rPr>
              <w:t>Operating leases:</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569"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Lease liabilities - current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w:t>
            </w:r>
          </w:p>
        </w:tc>
        <w:tc>
          <w:tcPr>
            <w:tcW w:w="569" w:type="dxa"/>
            <w:tcBorders/>
            <w:shd w:fill="FFFFFF" w:val="clear"/>
            <w:vAlign w:val="center"/>
          </w:tcPr>
          <w:p>
            <w:pPr>
              <w:pStyle w:val="TableContents"/>
              <w:bidi w:val="0"/>
              <w:spacing w:before="0" w:after="283"/>
              <w:jc w:val="right"/>
              <w:rPr/>
            </w:pPr>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w:t>
            </w:r>
          </w:p>
        </w:tc>
        <w:tc>
          <w:tcPr>
            <w:tcW w:w="920" w:type="dxa"/>
            <w:tcBorders/>
            <w:shd w:fill="FFFFFF" w:val="clear"/>
            <w:vAlign w:val="center"/>
          </w:tcPr>
          <w:p>
            <w:pPr>
              <w:pStyle w:val="TableContents"/>
              <w:bidi w:val="0"/>
              <w:spacing w:before="0" w:after="283"/>
              <w:jc w:val="right"/>
              <w:rPr/>
            </w:pPr>
            <w:r>
              <w:rPr/>
              <w:t>31</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5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remaining lease term for operating leases was 0.8 years and 1.3 years as of June 30, 2026, and December 31, 2025, respectively. The weighted-average discount rate was 12.58% as of June 30, 2026, and December 31,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was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8340" w:type="dxa"/>
        <w:jc w:val="left"/>
        <w:tblInd w:w="0" w:type="dxa"/>
        <w:tblLayout w:type="fixed"/>
        <w:tblCellMar>
          <w:top w:w="0" w:type="dxa"/>
          <w:left w:w="0" w:type="dxa"/>
          <w:bottom w:w="0" w:type="dxa"/>
          <w:right w:w="0" w:type="dxa"/>
        </w:tblCellMar>
      </w:tblPr>
      <w:tblGrid>
        <w:gridCol w:w="7085"/>
        <w:gridCol w:w="60"/>
        <w:gridCol w:w="175"/>
        <w:gridCol w:w="325"/>
        <w:gridCol w:w="60"/>
        <w:gridCol w:w="60"/>
        <w:gridCol w:w="175"/>
        <w:gridCol w:w="325"/>
        <w:gridCol w:w="75"/>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b/>
              </w:rPr>
            </w:pPr>
            <w:r>
              <w:rPr>
                <w:b/>
              </w:rPr>
              <w:t>Cash paid for amounts included in the measurement of lease liabilities</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Operating cash flows from operating leases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non-cancelable operating leases as of June 30, 2026, are as follows:</w:t>
      </w:r>
    </w:p>
    <w:p>
      <w:pPr>
        <w:pStyle w:val="TextBody"/>
        <w:bidi w:val="0"/>
        <w:spacing w:before="0" w:after="0"/>
        <w:ind w:left="0" w:right="0" w:firstLine="360"/>
        <w:jc w:val="both"/>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4670"/>
        <w:gridCol w:w="60"/>
        <w:gridCol w:w="140"/>
        <w:gridCol w:w="260"/>
        <w:gridCol w:w="110"/>
      </w:tblGrid>
      <w:tr>
        <w:trPr/>
        <w:tc>
          <w:tcPr>
            <w:tcW w:w="4670" w:type="dxa"/>
            <w:tcBorders/>
            <w:shd w:fill="CCEEFF" w:val="clear"/>
            <w:vAlign w:val="center"/>
          </w:tcPr>
          <w:p>
            <w:pPr>
              <w:pStyle w:val="TableContents"/>
              <w:bidi w:val="0"/>
              <w:spacing w:before="0" w:after="283"/>
              <w:jc w:val="left"/>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60"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p>
        </w:tc>
      </w:tr>
      <w:tr>
        <w:trPr/>
        <w:tc>
          <w:tcPr>
            <w:tcW w:w="4670" w:type="dxa"/>
            <w:tcBorders/>
            <w:shd w:fill="CCEEFF" w:val="clear"/>
            <w:vAlign w:val="center"/>
          </w:tcPr>
          <w:p>
            <w:pPr>
              <w:pStyle w:val="TableContents"/>
              <w:bidi w:val="0"/>
              <w:spacing w:before="0" w:after="283"/>
              <w:jc w:val="left"/>
              <w:rPr/>
            </w:pPr>
            <w:r>
              <w:rPr/>
              <w:t>Total future minimum operating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60" w:type="dxa"/>
            <w:tcBorders>
              <w:bottom w:val="double" w:sz="10" w:space="0" w:color="000000"/>
            </w:tcBorders>
            <w:shd w:fill="CCEEFF" w:val="clear"/>
            <w:tcMar>
              <w:bottom w:w="28" w:type="dxa"/>
            </w:tcM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Debt and Asset Acquisition - Mach5 Therapeutics,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and December 2025, the Company entered into a secured senior promissory note with Mach5 Therapeutics, Inc. (“Mach5”) pursuant to which the Company borrowed an aggregate of $600 thousand. The note bears interest at 5% per annum and was scheduled to mature on January 15, 2026. The note was amended on January 20, 2026 to increase the outstanding principal balance by $675 thousand, resulting in total borrowings by the Company of $1.275 million, and to extend the contractual maturity date to January 30, 2026. Under the terms of the note, if the contemplated acquisition of Mach5 by the Company or one of its affiliates was consummated, the outstanding principal balance, accrued interest, and other amounts due under the note would be considered paid in full at the closing of the acquisition. Concurrently with the closing of the asset acquisition, the preexisting loan was effectively settled. Consistent with ASC 470-50, </w:t>
      </w:r>
      <w:r>
        <w:rPr>
          <w:rFonts w:ascii="Times New Roman;Times;Serif" w:hAnsi="Times New Roman;Times;Serif"/>
          <w:b w:val="false"/>
          <w:i/>
          <w:caps w:val="false"/>
          <w:smallCaps w:val="false"/>
          <w:sz w:val="20"/>
        </w:rPr>
        <w:t>Debt - Modification and Extinguishments</w:t>
      </w:r>
      <w:r>
        <w:rPr>
          <w:rFonts w:ascii="Times New Roman;Times;Serif" w:hAnsi="Times New Roman;Times;Serif"/>
          <w:b w:val="false"/>
          <w:i w:val="false"/>
          <w:caps w:val="false"/>
          <w:smallCaps w:val="false"/>
          <w:sz w:val="20"/>
        </w:rPr>
        <w:t>, the Company evaluated the difference between the fair value of note and the net carrying amount of the settled note to determine if an extinguishment gain or loss should be recorded. The fair value of the note was determined as of March 17, 2026, the date of the Acquisition and the date on which the note became due and payable in full under its terms. As the valuation and settlement dates are the same, no discount for time value or credit risk applied. The fair value of the note was $1.288 million comprised of outstanding principal and accrued interest, which was equal to the net carrying amount of the extinguished note, so no gain or loss was recorded. The settlement of the preexisting note was presented separately from the total costs to acquire the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acquired 100% of the outstanding equity interests of Mach5 in exchange for 10,676,470 shares of the Company’s common stock. The fair value of the common shares issued represented total consideration transferred of $961 thousand. Under ASC 805, the Company determined that it was the accounting acquirer. The Company evaluated the transaction under ASC 805 and determined substantially all of the fair value of the assets acquired were concentrated in a single asset, the in-process research and development related to Mach5’s only drug candidate. Accordingly, the transaction was accounted for as an asset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including transaction costs of $243 thousand, were allocated to the assets acquired based on their relative fair values as a percentage of the total fair value of the assets acquired, with no goodwill recognized. Substantially all of the fair value of the gross assets acquired was attributable to acquired IPR&amp;D. The Company determined that the acquired IPR&amp;D had no alternative future use and therefore expensed $139 thousand as a component of in-process research and development expense during the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consideration transferred was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3345" w:type="dxa"/>
        <w:jc w:val="left"/>
        <w:tblInd w:w="0" w:type="dxa"/>
        <w:tblLayout w:type="fixed"/>
        <w:tblCellMar>
          <w:top w:w="0" w:type="dxa"/>
          <w:left w:w="0" w:type="dxa"/>
          <w:bottom w:w="0" w:type="dxa"/>
          <w:right w:w="0" w:type="dxa"/>
        </w:tblCellMar>
      </w:tblPr>
      <w:tblGrid>
        <w:gridCol w:w="2510"/>
        <w:gridCol w:w="60"/>
        <w:gridCol w:w="140"/>
        <w:gridCol w:w="560"/>
        <w:gridCol w:w="75"/>
      </w:tblGrid>
      <w:tr>
        <w:trPr/>
        <w:tc>
          <w:tcPr>
            <w:tcW w:w="2510" w:type="dxa"/>
            <w:tcBorders/>
            <w:shd w:fill="CCEEFF" w:val="clear"/>
            <w:vAlign w:val="center"/>
          </w:tcPr>
          <w:p>
            <w:pPr>
              <w:pStyle w:val="TableContents"/>
              <w:bidi w:val="0"/>
              <w:spacing w:before="0" w:after="283"/>
              <w:jc w:val="left"/>
              <w:rPr/>
            </w:pPr>
            <w:r>
              <w:rPr/>
              <w:t>Consideration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961</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Transaction costs incurred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243</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1,204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identifiable assets acquired, liabilities assumed, and settlement of pre-existing note payable was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4730"/>
        <w:gridCol w:w="60"/>
        <w:gridCol w:w="140"/>
        <w:gridCol w:w="560"/>
        <w:gridCol w:w="110"/>
      </w:tblGrid>
      <w:tr>
        <w:trPr/>
        <w:tc>
          <w:tcPr>
            <w:tcW w:w="473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61</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Acquired in-process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139</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(284</w:t>
            </w:r>
          </w:p>
        </w:tc>
        <w:tc>
          <w:tcPr>
            <w:tcW w:w="110" w:type="dxa"/>
            <w:tcBorders/>
            <w:shd w:fill="CCEEFF" w:val="clear"/>
            <w:vAlign w:val="center"/>
          </w:tcPr>
          <w:p>
            <w:pPr>
              <w:pStyle w:val="TableContents"/>
              <w:bidi w:val="0"/>
              <w:spacing w:before="0" w:after="283"/>
              <w:jc w:val="left"/>
              <w:rPr/>
            </w:pPr>
            <w:r>
              <w:rPr/>
              <w:t>)</w:t>
            </w:r>
          </w:p>
        </w:tc>
      </w:tr>
      <w:tr>
        <w:trPr/>
        <w:tc>
          <w:tcPr>
            <w:tcW w:w="4730" w:type="dxa"/>
            <w:tcBorders/>
            <w:shd w:fill="FFFFFF" w:val="clear"/>
            <w:vAlign w:val="center"/>
          </w:tcPr>
          <w:p>
            <w:pPr>
              <w:pStyle w:val="TableContents"/>
              <w:bidi w:val="0"/>
              <w:spacing w:before="0" w:after="283"/>
              <w:jc w:val="left"/>
              <w:rPr/>
            </w:pPr>
            <w:r>
              <w:rPr/>
              <w:t>Settlement of note payable to Mach5,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1,288</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1,204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and Founder Incentive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entered into a Management and Founder Incentive Agreement with Kira KMF Company LLC (“KMF”), an entity owned and controlled by certain members of the Company’s management and founders. Pursuant to the agreement, KMF agreed to provide funding of $25,000 per month from January 2025 through June 2025 to support certain employee related costs and facilitate the continued provision of services by members of management while the Company pursued strategic business development opportunities. In exchange, KMF may be entitled to receive contingent fees based on proceeds received from certain qualifying transactions, including asset sales, licensing transactions, business combinations, or similar strategic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the Company obtained funding proceeds of approximately $108 thousand from KMF, which were recorded within additional paid in capital. On July 1, 2025, the agreement was mutually terminated as KMF did not provide the funding payment for the full term as a qualifying transaction was not likely to occur and no liabilities or obligations were owed by either party. At the time the agreement was terminated, no contingent fees had been earned or 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Activity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certain existing shareholders of the Company surrendered to the Company, for no consideration, a total of 269,171 ordinary shares. These shares were surrendered by the holders for no consideration and were immediately cancelled upon surrender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settled outstanding obligations to members of its Board of Directors and Scientific Advisory Board related to services rendered through March 31, 2026. As of December 31, 2025, the Company had accrued $92 thousand and $300 thousand for services performed through December 31, 2025, which are within accrued expenses and other current liabilities in the Company’s consolidated balance sheets as accrued general and administrative expenses and accrued research and development expenses, respectively. Upon settlement, the aggregate amounts due to members of the Company’s Board of Directors and Scientific Advisory Board of $108 thousand and $350 thousand, respectively, were settled through the issuance of 49,583 and 160,191 ordinary shares, together with cash payments of $1 thousand and $3 thousand,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Employee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entered into forgivable loan arrangements totaling $539 thousand with certain members of management as a retention incentive. The arrangements are retention-based compensation arrangements structured as forgivable loans and are subject to forgiveness upon continued employment through January 15, 2027. The Company accounts for the arrangements as compensation and recognizes compensation expense on a straight-line basis over the requisite service period. During the six months ended June 30, 2026, the Company recognized approximately $161 thousand of research and development expense and $19 thousand of general and administrative expense related to the arrangements, including accrued employer payroll taxes. As of June 30, 2026, approximately $372 thousand remained outstanding under the arrangements and was included in prepaid expenses and other current assets on the condensed consolidated balance sheet.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October 1, 2026, the date that the financial statements were available to be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Mirador License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13, 2026, the Company entered into a License Agreement with Mirador Therapeutics, Inc. pursuant to which the Company granted Mirador an exclusive worldwide license to develop, manufacture and commercialize products containing the Company’s proprietary anti-C5a antibody (KP301) and anti-C5aR small molecule compound </w:t>
      </w:r>
      <w:r>
        <w:rPr>
          <w:rFonts w:ascii="Times New Roman;Times;Serif" w:hAnsi="Times New Roman;Times;Serif"/>
          <w:b w:val="false"/>
          <w:i w:val="false"/>
          <w:caps w:val="false"/>
          <w:smallCaps w:val="false"/>
          <w:sz w:val="20"/>
          <w:shd w:fill="FFFFFF" w:val="clear"/>
        </w:rPr>
        <w:t>(KP402). Under the agreement, the Company is entitled to receive a (i) $12.0 million upfront payment and (ii) $8.0 million upon delivery of drug substance and compound to Mirador, and may receive up to $458.5 million in development, regulatory and commercial milestone payments, as well as tiered royalties on future net sales of licensed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Jasper Agreement and Plan of Merger and Private Placement and Securities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the Company was acquired by Jasper Therapeutics, Inc. pursuant to a merger transaction in which the Company became a wholly owned subsidiary of Jasper. In connection with the merger, the Company’s equity holders received 5,195,009 shares of Jasper common stock and 4,644,977 shares of Jasper non-voting convertible preferred stock, each convertible into 61 shares of common stock, subject to certain conditions. Concurrently with the merger, Jasper completed a private placement financing pursuant to which it through the sale of approximately 4.7 million shares of non-voting convertible preferred stock for gross proceeds of approximately $132 million.  Jasper has agreed to seek a stockholder vote to convert the Non-Voting Convertible Preferred Stock within 120 days from the closing of the merger. In addition, in the event the Company is unable to obtain stockholder approval of the conversion of the Non-Voting Convertible Preferred Stock within 12 months of the closing of the Merger, holders have the right to require the Company to repurchase the Non-Voting Convertible Preferred Stock at the then current fair market value. Jasper Therapeutics, Inc will be determined to be the accounting acquirer and this acquisition will be accounted for in subsequent periods as an asset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w:t>
      </w:r>
    </w:p>
    <w:p>
      <w:pPr>
        <w:pStyle w:val="TextBody"/>
        <w:bidi w:val="0"/>
        <w:jc w:val="left"/>
        <w:rPr>
          <w:bdr w:val="single" w:sz="12" w:space="1" w:color="000000"/>
        </w:rPr>
      </w:pPr>
      <w:r>
        <w:rPr>
          <w:bdr w:val="single" w:sz="12" w:space="1" w:color="000000"/>
        </w:rPr>
        <w:t> </w:t>
      </w:r>
    </w:p>
    <w:p>
      <w:pPr>
        <w:pStyle w:val="TextBody"/>
        <w:bidi w:val="0"/>
        <w:ind w:left="0" w:right="0" w:hanging="0"/>
        <w:jc w:val="right"/>
        <w:rPr>
          <w:b/>
        </w:rPr>
      </w:pPr>
      <w:bookmarkStart w:id="40" w:name="ea030686001ex99-3.htm"/>
      <w:bookmarkStart w:id="41" w:name="ksea030686001ex993"/>
      <w:bookmarkEnd w:id="40"/>
      <w:bookmarkEnd w:id="41"/>
      <w:r>
        <w:rPr>
          <w:b/>
        </w:rPr>
        <w:t>Exhibit 99.3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the Year Ended December 31, 2025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Jasper Therapeutics, Inc. (the “Company” or “Jasper”) acquired Kira Pharmaceuticals (“Kira”), a Cayman Islands exempted company, in accordance with the terms of the Agreement and Plan of Merger (the “Merger Agreement”), by and among the Company, Kira Holdco Inc., a Delaware corporation and a wholly owned subsidiary of the Company (“Merger Sub”), and Kira. Pursuant to the Merger Agreement, Kira merged with and into Merger Sub, with Merger Sub continuing as the surviving corporation and a wholly owned subsidiary of the Company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following the closing of the Merger (the “Closing”), the Company issued to the shareholders of Kira an aggregate of (i) 5,195,009 shares (the “Merger Shares”) of voting common stock of the Company, par value $0.0001 per share (the “Common Stock”), and (ii) 4,644,977 shares of non-voting convertible preferred stock of the Company, par value $0.0001 per share (the “Preferred Stock”), each share of which is convertible into 61 shares of Common Stock, subject to certain conditions. Additionally, each option to purchase Kira ordinary shares was assumed by the Company and was converted into options to purchase an aggregate of 392,791 shares of Common Stock and an aggregate of 351,201 shares of Preferred Stock. Additionally, a total of 254,462 shares of Preferred Stock were issued to the holders of Company SAFEs (as defined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entered into a Securities Purchase Agreement (the “Purchase Agreement”) pursuant to which the Company agreed to sell an aggregate of 4,655,951 shares of Preferred Stock (the “PIPE Securities”) for an aggregate purchase price of approximately $132.0 million (the “Financing”). The Financing closed on July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the Purchase Agreement, the Company will hold a shareholders’ meeting to submit the following matters to its shareholders for their consideration:   (i) the approval, in accordance with the rules of The Nasdaq Stock Market LLC, of the conversion of the Preferred Stock issued pursuant to the Merger Agreement and to be issued pursuant to the Purchase Agreement into shares of Common Stock (the “Conversion Proposal”), (ii) the ratification of the appointment of Patrick Crutcher to the Board of Directors of the Company (the “Board”), and (iii) the approval of an amendment to the Certificate of Incorporation to increase the number of authorized shares of Common Stock by an amount sufficient to permit the conversion of all Preferred Stock and PIPE Securities issued or reserved for issuance pursuant to the Merger Agreement and the Purchase Agreement, respectively, into Common Stock in accordance with the terms of the Certificate of Designation (as defined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Purchase Agreement, the Company entered into a Registration Rights Agreement with the Investors, pursuant to which the Company is required to file a resale registration statement with respect to the shares of Common Stock issuable upon conversion of the PIPE Securities within 90 calendar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entered into a contingent value rights agreement (the “CVR Agreement”), pursuant to which each holder of Common Stock of record immediately prior to the Closing is entitled to one (1) contractual contingent value right (each, a “CVR”) for each share of Common Stock held. Each CVR entitles the holder to receive a pro-rata portion of $30.0 million if the United States Food and Drug Administration issues a Priority Review Voucher (as defined in the CVR Agreement) in connection with briquilimab on or prior to December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Kira entered into a License Agreement with Mirador Therapeutics, Inc. (“Mirador”), pursuant to which Kira granted Mirador an exclusive, worldwide, royalty-bearing license to KP-301 and KP-402 (the “Mirador License Agreent”). Under the terms of the Mirador License Agreement, Mirador agreed to pay Kira an upfront payment of $12.0 million and a payment of $8.0 million upon delivery of drug substance and compound to Mirador, as well as potential development milestone payments of up to $108.5 million, commercial milestone payments of up to $350.0 million, and tiered royalties. The Mirador License Agreement was entered into in contemplation of the Merger and the Financing, and Mirador participated as an investor in the Financing. The Company acquired the rights and receivables under the Mirador License Agreement as part of the Merger. As the Mirador License Agreement was entered into on July 13, 2026, after the date of the historical Kira balance sheets included in this filing, the pro forma financial information gives effect to the Mirador License Agreement as a transaction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of the Company is presented to illustrate the estimated effects of (1) the Merger, (2) the Financing, (3) the CVR Agreement  and (4) the Mirador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combines the historical consolidated balance sheet of the Company and the historical consolidated balance sheet of Kira, giving effect to the Merger, the Financing, the CVR distribution and the Mirador License Agreement as if they had occurred on June 30, 2026. The unaudited pro forma condensed combined statements of operations for the six months ended June 30, 2026 and the year ended December 31, 2025 combine the historical statements of operations of the Company and Kira, giving effect to the Merger, the Financing, the CVR distribution and the Mirador License Agreement as if they had occurred on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should be read in conjunction with the following historical consolidated financial statements and notes: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audited consolidated financial statements of the Company as of December 31, 2025 and for the year then ended included in the Annual Report on Form 10-K for the year ended December 31,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unaudited consolidated financial statements of the Company as of and for the six months ended June 30, 2026 included in the Quarterly Report on Form 10-Q for the quarter ended June 30,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audited financial statements of Kira as of December 31, 2025 and 2024 and for the years then ended filed as Exhibit 99.1 to this Current Report on Form 8-K/A;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jc w:val="left"/>
              <w:rPr/>
            </w:pPr>
            <w:r>
              <w:rPr/>
              <w:t>●</w:t>
            </w:r>
          </w:p>
          <w:p>
            <w:pPr>
              <w:pStyle w:val="TableContents"/>
              <w:bidi w:val="0"/>
              <w:spacing w:before="0" w:after="283"/>
              <w:jc w:val="left"/>
              <w:rPr/>
            </w:pPr>
            <w:r>
              <w:rPr/>
              <w:t> </w:t>
            </w:r>
          </w:p>
        </w:tc>
        <w:tc>
          <w:tcPr>
            <w:tcW w:w="9998" w:type="dxa"/>
            <w:tcBorders/>
            <w:vAlign w:val="center"/>
          </w:tcPr>
          <w:p>
            <w:pPr>
              <w:pStyle w:val="TableContents"/>
              <w:bidi w:val="0"/>
              <w:spacing w:before="0" w:after="283"/>
              <w:jc w:val="both"/>
              <w:rPr/>
            </w:pPr>
            <w:r>
              <w:rPr/>
              <w:t>the unaudited financial statements of Kira as of and for the six months ended June 30, 2026 filed as Exhibit 99.2 to this Current Report on Form 8-K/A.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Regulation S-X, as amended by the SEC on May 20, 2020, and presents the historical financial position and results of operations of the Company and Kira, adjusted to give effect to (i) the Merger, (ii) the Financing, (iii) the CVR distribution and (iv) the Mirador License Agreement, described in the notes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presented for illustrative and informational purposes only and is based upon available information and assumptions made by management that we believe are reasonable. Actual adjustments may differ materially. The pro forma financial information does not purport to represent what the results of operations would have been had these transactions actually occurred on the dates indicated, nor does it purport to project results for any future period. The pro forma financial information does not give effect to any anticipated synergies, operating efficiencies, tax savings or cost savings.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June 30, 2026</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9"/>
        <w:gridCol w:w="60"/>
        <w:gridCol w:w="140"/>
        <w:gridCol w:w="875"/>
        <w:gridCol w:w="95"/>
        <w:gridCol w:w="60"/>
        <w:gridCol w:w="140"/>
        <w:gridCol w:w="875"/>
        <w:gridCol w:w="95"/>
        <w:gridCol w:w="60"/>
        <w:gridCol w:w="201"/>
        <w:gridCol w:w="1264"/>
        <w:gridCol w:w="95"/>
        <w:gridCol w:w="60"/>
        <w:gridCol w:w="255"/>
        <w:gridCol w:w="1243"/>
        <w:gridCol w:w="60"/>
        <w:gridCol w:w="60"/>
        <w:gridCol w:w="517"/>
        <w:gridCol w:w="60"/>
        <w:gridCol w:w="149"/>
        <w:gridCol w:w="940"/>
        <w:gridCol w:w="82"/>
      </w:tblGrid>
      <w:tr>
        <w:trPr/>
        <w:tc>
          <w:tcPr>
            <w:tcW w:w="28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Jasper</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Kira</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Merger Related Transaction</w:t>
              <w:b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 Transaction Adjustments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7" w:type="dxa"/>
            <w:tcBorders>
              <w:bottom w:val="single" w:sz="12" w:space="0" w:color="000000"/>
            </w:tcBorders>
            <w:tcMar>
              <w:bottom w:w="28" w:type="dxa"/>
            </w:tcMar>
            <w:vAlign w:val="center"/>
          </w:tcPr>
          <w:p>
            <w:pPr>
              <w:pStyle w:val="TableContents"/>
              <w:bidi w:val="0"/>
              <w:spacing w:before="0" w:after="283"/>
              <w:jc w:val="center"/>
              <w:rPr>
                <w:b/>
              </w:rPr>
            </w:pPr>
            <w:r>
              <w:rPr>
                <w:b/>
              </w:rPr>
              <w:t>Note 4</w:t>
            </w:r>
          </w:p>
        </w:tc>
        <w:tc>
          <w:tcPr>
            <w:tcW w:w="60" w:type="dxa"/>
            <w:tcBorders/>
            <w:vAlign w:val="center"/>
          </w:tcPr>
          <w:p>
            <w:pPr>
              <w:pStyle w:val="TableContents"/>
              <w:bidi w:val="0"/>
              <w:spacing w:before="0" w:after="283"/>
              <w:jc w:val="center"/>
              <w:rPr/>
            </w:pPr>
            <w:r>
              <w:rPr/>
              <w:t> </w:t>
            </w:r>
          </w:p>
        </w:tc>
        <w:tc>
          <w:tcPr>
            <w:tcW w:w="10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82" w:type="dxa"/>
            <w:tcBorders/>
            <w:vAlign w:val="center"/>
          </w:tcPr>
          <w:p>
            <w:pPr>
              <w:pStyle w:val="TableContents"/>
              <w:bidi w:val="0"/>
              <w:spacing w:before="0" w:after="283"/>
              <w:ind w:left="0" w:right="0" w:hanging="180"/>
              <w:jc w:val="center"/>
              <w:rPr/>
            </w:pPr>
            <w:r>
              <w:rPr/>
              <w:t> </w:t>
            </w:r>
          </w:p>
        </w:tc>
      </w:tr>
      <w:tr>
        <w:trPr/>
        <w:tc>
          <w:tcPr>
            <w:tcW w:w="2819"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9"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2819"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9"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124,829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xml:space="preserve">(A)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142,828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Mirador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xml:space="preserve">(E)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12,000</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Material deliverable to Mirador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7,995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xml:space="preserve">(J)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7,995</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Restricted cash,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417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4,416</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b/>
              </w:rPr>
            </w:pPr>
            <w:r>
              <w:rPr>
                <w:b/>
              </w:rPr>
              <w:t>124,829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19,995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b/>
              </w:rPr>
            </w:pPr>
            <w:r>
              <w:rPr>
                <w:b/>
              </w:rPr>
              <w:t>167,656</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68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153</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394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6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124,829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168,271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b/>
              </w:rPr>
            </w:pPr>
            <w:r>
              <w:rPr>
                <w:b/>
              </w:rPr>
              <w:t>LIABILITIES, MEZZANINE EQUITY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7,010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(K)</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8,375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1,341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(L)</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298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SAFE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(7,214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7,845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12,211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b/>
              </w:rPr>
            </w:pPr>
            <w:r>
              <w:rPr>
                <w:b/>
              </w:rPr>
              <w:t>(5,873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b/>
              </w:rPr>
            </w:pPr>
            <w:r>
              <w:rPr>
                <w:b/>
              </w:rPr>
              <w:t>15,683</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2,544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CVR obligation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(I)</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1,900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1,294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10,389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b/>
              </w:rPr>
            </w:pPr>
            <w:r>
              <w:rPr>
                <w:b/>
              </w:rPr>
              <w:t>(3,973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b/>
              </w:rPr>
            </w:pPr>
            <w:r>
              <w:rPr>
                <w:b/>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b/>
              </w:rPr>
            </w:pPr>
            <w:r>
              <w:rPr>
                <w:b/>
              </w:rPr>
              <w:t>21,421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124,829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(A)</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263,742</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120,418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18,495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Options for convertible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4,654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(G)</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4,654</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b/>
              </w:rPr>
            </w:pPr>
            <w:r>
              <w:rPr>
                <w:b/>
              </w:rPr>
              <w:t>Total 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b/>
              </w:rPr>
            </w:pPr>
            <w:r>
              <w:rPr>
                <w:b/>
              </w:rPr>
              <w:t>249,901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18,495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b/>
              </w:rPr>
            </w:pPr>
            <w:r>
              <w:rPr>
                <w:b/>
              </w:rPr>
              <w:t>268,396</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b/>
              </w:rPr>
            </w:pPr>
            <w:r>
              <w:rPr>
                <w:b/>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(C)</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322,014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181,979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(181,979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324,219</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(C)</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(1,900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(I)</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(320,604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(184,172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184,172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xml:space="preserve">(H)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(445,769</w:t>
            </w:r>
          </w:p>
        </w:tc>
        <w:tc>
          <w:tcPr>
            <w:tcW w:w="82" w:type="dxa"/>
            <w:tcBorders/>
            <w:shd w:fill="FFFFFF" w:val="clear"/>
            <w:vAlign w:val="center"/>
          </w:tcPr>
          <w:p>
            <w:pPr>
              <w:pStyle w:val="TableContents"/>
              <w:bidi w:val="0"/>
              <w:spacing w:before="0" w:after="283"/>
              <w:ind w:left="0" w:right="0" w:hanging="180"/>
              <w:jc w:val="left"/>
              <w:rPr/>
            </w:pPr>
            <w:r>
              <w:rPr/>
              <w:t>)</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(125,165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b/>
              </w:rPr>
            </w:pPr>
            <w:r>
              <w:rPr>
                <w:b/>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(1,860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b/>
              </w:rPr>
            </w:pPr>
            <w:r>
              <w:rPr>
                <w:b/>
              </w:rPr>
              <w:t>(121,099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b/>
              </w:rPr>
            </w:pPr>
            <w:r>
              <w:rPr>
                <w:b/>
              </w:rPr>
              <w:t>(121,546</w:t>
            </w:r>
          </w:p>
        </w:tc>
        <w:tc>
          <w:tcPr>
            <w:tcW w:w="82" w:type="dxa"/>
            <w:tcBorders/>
            <w:shd w:fill="CCEEFF" w:val="clear"/>
            <w:vAlign w:val="center"/>
          </w:tcPr>
          <w:p>
            <w:pPr>
              <w:pStyle w:val="TableContents"/>
              <w:bidi w:val="0"/>
              <w:spacing w:before="0" w:after="283"/>
              <w:ind w:left="0" w:right="0" w:hanging="180"/>
              <w:jc w:val="left"/>
              <w:rPr>
                <w:b/>
              </w:rPr>
            </w:pPr>
            <w:r>
              <w:rPr>
                <w:b/>
              </w:rPr>
              <w:t>)</w:t>
            </w:r>
          </w:p>
        </w:tc>
      </w:tr>
      <w:tr>
        <w:trPr/>
        <w:tc>
          <w:tcPr>
            <w:tcW w:w="2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b/>
              </w:rPr>
            </w:pPr>
            <w:r>
              <w:rPr>
                <w:b/>
              </w:rPr>
              <w:t>Total liabilities, mezzanine equity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6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124,829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168,271</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Year Ended December 31, 2025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6"/>
        <w:gridCol w:w="60"/>
        <w:gridCol w:w="144"/>
        <w:gridCol w:w="1139"/>
        <w:gridCol w:w="95"/>
        <w:gridCol w:w="60"/>
        <w:gridCol w:w="187"/>
        <w:gridCol w:w="855"/>
        <w:gridCol w:w="95"/>
        <w:gridCol w:w="60"/>
        <w:gridCol w:w="216"/>
        <w:gridCol w:w="1361"/>
        <w:gridCol w:w="95"/>
        <w:gridCol w:w="60"/>
        <w:gridCol w:w="128"/>
        <w:gridCol w:w="1358"/>
        <w:gridCol w:w="95"/>
        <w:gridCol w:w="60"/>
        <w:gridCol w:w="91"/>
        <w:gridCol w:w="424"/>
        <w:gridCol w:w="60"/>
        <w:gridCol w:w="148"/>
        <w:gridCol w:w="1294"/>
        <w:gridCol w:w="84"/>
      </w:tblGrid>
      <w:tr>
        <w:trPr/>
        <w:tc>
          <w:tcPr>
            <w:tcW w:w="2036"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Jasper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Kira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Merger Related Transaction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 Transaction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 4</w:t>
            </w:r>
          </w:p>
        </w:tc>
        <w:tc>
          <w:tcPr>
            <w:tcW w:w="60" w:type="dxa"/>
            <w:tcBorders/>
            <w:vAlign w:val="center"/>
          </w:tcPr>
          <w:p>
            <w:pPr>
              <w:pStyle w:val="TableContents"/>
              <w:bidi w:val="0"/>
              <w:spacing w:before="0" w:after="283"/>
              <w:jc w:val="left"/>
              <w:rPr/>
            </w:pPr>
            <w:r>
              <w:rPr/>
              <w:t> </w:t>
            </w:r>
          </w:p>
        </w:tc>
        <w:tc>
          <w:tcPr>
            <w:tcW w:w="14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Combined</w:t>
            </w:r>
          </w:p>
        </w:tc>
        <w:tc>
          <w:tcPr>
            <w:tcW w:w="84" w:type="dxa"/>
            <w:tcBorders/>
            <w:vAlign w:val="center"/>
          </w:tcPr>
          <w:p>
            <w:pPr>
              <w:pStyle w:val="TableContents"/>
              <w:bidi w:val="0"/>
              <w:spacing w:before="0" w:after="283"/>
              <w:ind w:left="0" w:right="0" w:hanging="180"/>
              <w:jc w:val="left"/>
              <w:rPr/>
            </w:pPr>
            <w:r>
              <w:rPr/>
              <w:t> </w:t>
            </w:r>
          </w:p>
        </w:tc>
      </w:tr>
      <w:tr>
        <w:trPr/>
        <w:tc>
          <w:tcPr>
            <w:tcW w:w="2036"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28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Acquired in-process research and development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125,165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4" w:type="dxa"/>
            <w:tcBorders/>
            <w:shd w:fill="CCEEFF" w:val="clear"/>
            <w:vAlign w:val="center"/>
          </w:tcPr>
          <w:p>
            <w:pPr>
              <w:pStyle w:val="TableContents"/>
              <w:bidi w:val="0"/>
              <w:spacing w:before="0" w:after="283"/>
              <w:jc w:val="right"/>
              <w:rPr/>
            </w:pPr>
            <w:r>
              <w:rPr/>
              <w:t>126,665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(K)</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63,104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64,013</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FFFFFF" w:val="clear"/>
            <w:tcMar>
              <w:bottom w:w="28" w:type="dxa"/>
            </w:tcMar>
            <w:vAlign w:val="center"/>
          </w:tcPr>
          <w:p>
            <w:pPr>
              <w:pStyle w:val="TableContents"/>
              <w:bidi w:val="0"/>
              <w:spacing w:before="0" w:after="283"/>
              <w:jc w:val="right"/>
              <w:rPr/>
            </w:pPr>
            <w:r>
              <w:rPr/>
              <w:t>20,779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1,501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22,280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83,883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125,165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5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212,958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b/>
              </w:rPr>
            </w:pPr>
            <w:r>
              <w:rPr>
                <w:b/>
              </w:rPr>
              <w:t>(83,883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b/>
              </w:rPr>
            </w:pPr>
            <w:r>
              <w:rPr>
                <w:b/>
              </w:rPr>
              <w:t>(2,410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b/>
              </w:rPr>
            </w:pPr>
            <w:r>
              <w:rPr>
                <w:b/>
              </w:rPr>
              <w:t>(125,165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b/>
              </w:rPr>
            </w:pPr>
            <w:r>
              <w:rPr>
                <w:b/>
              </w:rPr>
              <w:t>(1,500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b/>
              </w:rPr>
            </w:pPr>
            <w:r>
              <w:rPr>
                <w:b/>
              </w:rPr>
              <w:t>(212,958</w:t>
            </w:r>
          </w:p>
        </w:tc>
        <w:tc>
          <w:tcPr>
            <w:tcW w:w="84" w:type="dxa"/>
            <w:tcBorders/>
            <w:shd w:fill="FFFFFF" w:val="clear"/>
            <w:vAlign w:val="center"/>
          </w:tcPr>
          <w:p>
            <w:pPr>
              <w:pStyle w:val="TableContents"/>
              <w:bidi w:val="0"/>
              <w:spacing w:before="0" w:after="283"/>
              <w:ind w:left="0" w:right="0" w:hanging="180"/>
              <w:jc w:val="left"/>
              <w:rPr>
                <w:b/>
              </w:rPr>
            </w:pPr>
            <w:r>
              <w:rPr>
                <w:b/>
              </w:rPr>
              <w:t>)</w:t>
            </w:r>
          </w:p>
        </w:tc>
      </w:tr>
      <w:tr>
        <w:trPr/>
        <w:tc>
          <w:tcPr>
            <w:tcW w:w="2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Interest income (expense),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1,741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1,741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8,528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8,528</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Gain on accounts payable settlement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2,027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Loss from issuance and remeasurement of convertible note at fair value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(3,950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(3,950</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036"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(2,187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(1,967</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036"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(258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(258</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036" w:type="dxa"/>
            <w:tcBorders/>
            <w:shd w:fill="CCEEFF" w:val="clear"/>
            <w:vAlign w:val="center"/>
          </w:tcPr>
          <w:p>
            <w:pPr>
              <w:pStyle w:val="TableContents"/>
              <w:bidi w:val="0"/>
              <w:spacing w:before="0" w:after="283"/>
              <w:jc w:val="left"/>
              <w:rPr>
                <w:b/>
              </w:rPr>
            </w:pPr>
            <w:r>
              <w:rPr>
                <w:b/>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6,121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(75,801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3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(125,165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(206,837)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b/>
              </w:rPr>
            </w:pPr>
            <w:r>
              <w:rPr>
                <w:b/>
              </w:rPr>
              <w:t>Other comprehensive loss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Foreign currency translation adjustment, net of tax</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(416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(416</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036" w:type="dxa"/>
            <w:tcBorders/>
            <w:shd w:fill="CCEEFF" w:val="clear"/>
            <w:vAlign w:val="center"/>
          </w:tcPr>
          <w:p>
            <w:pPr>
              <w:pStyle w:val="TableContents"/>
              <w:bidi w:val="0"/>
              <w:spacing w:before="0" w:after="283"/>
              <w:jc w:val="left"/>
              <w:rPr>
                <w:b/>
              </w:rPr>
            </w:pPr>
            <w:r>
              <w:rPr>
                <w:b/>
              </w:rPr>
              <w:t>Total comprehensive loss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(75,801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3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(125,165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(207,253</w:t>
            </w:r>
          </w:p>
        </w:tc>
        <w:tc>
          <w:tcPr>
            <w:tcW w:w="84" w:type="dxa"/>
            <w:tcBorders/>
            <w:shd w:fill="CCEEFF" w:val="clear"/>
            <w:vAlign w:val="center"/>
          </w:tcPr>
          <w:p>
            <w:pPr>
              <w:pStyle w:val="TableContents"/>
              <w:bidi w:val="0"/>
              <w:spacing w:before="0" w:after="283"/>
              <w:ind w:left="0" w:right="0" w:hanging="180"/>
              <w:jc w:val="left"/>
              <w:rPr>
                <w:b/>
              </w:rPr>
            </w:pPr>
            <w:r>
              <w:rPr>
                <w:b/>
              </w:rPr>
              <w:t>)</w:t>
            </w:r>
          </w:p>
        </w:tc>
      </w:tr>
      <w:tr>
        <w:trPr/>
        <w:tc>
          <w:tcPr>
            <w:tcW w:w="2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9" w:type="dxa"/>
            <w:tcBorders>
              <w:bottom w:val="double" w:sz="10" w:space="0" w:color="000000"/>
            </w:tcBorders>
            <w:shd w:fill="CCEEFF" w:val="clear"/>
            <w:tcMar>
              <w:bottom w:w="28" w:type="dxa"/>
            </w:tcMar>
            <w:vAlign w:val="center"/>
          </w:tcPr>
          <w:p>
            <w:pPr>
              <w:pStyle w:val="TableContents"/>
              <w:bidi w:val="0"/>
              <w:spacing w:before="0" w:after="283"/>
              <w:jc w:val="right"/>
              <w:rPr/>
            </w:pPr>
            <w:r>
              <w:rPr/>
              <w:t>(3.95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pPr>
            <w:r>
              <w:rPr/>
              <w:t>(0.34</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19,168,110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607,242,129</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20915</Words>
  <Characters>114388</Characters>
  <CharactersWithSpaces>137725</CharactersWithSpaces>
  <Paragraphs>7695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