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229-8k_jasper.htm"/>
      <w:bookmarkStart w:id="1" w:name="ksea02982298k_jaspe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716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July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JASPER THERAPEUTICS, INC.</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B_edei--EntityFileNumber_c20260716"/>
            <w:bookmarkEnd w:id="6"/>
            <w:r>
              <w:rPr>
                <w:b/>
                <w:sz w:val="20"/>
              </w:rPr>
              <w:t>001-39138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84-2984849</w:t>
            </w:r>
          </w:p>
        </w:tc>
      </w:tr>
      <w:tr>
        <w:trPr/>
        <w:tc>
          <w:tcPr>
            <w:tcW w:w="227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283"/>
              <w:jc w:val="center"/>
              <w:rPr>
                <w:b/>
                <w:sz w:val="20"/>
              </w:rPr>
            </w:pPr>
            <w:bookmarkStart w:id="8" w:name="xdx_905_edei--EntityAddressAddressLine1_"/>
            <w:bookmarkEnd w:id="8"/>
            <w:r>
              <w:rPr>
                <w:b/>
                <w:sz w:val="20"/>
              </w:rPr>
              <w:t>2200 Bridge Pkwy Suite #102</w:t>
              <w:br/>
            </w:r>
            <w:bookmarkStart w:id="9" w:name="xdx_902_edei--EntityAddressCityOrTown_c2"/>
            <w:bookmarkEnd w:id="9"/>
            <w:r>
              <w:rPr>
                <w:b/>
                <w:sz w:val="20"/>
              </w:rPr>
              <w:t xml:space="preserve">Redwood City, </w:t>
            </w:r>
            <w:bookmarkStart w:id="10" w:name="xdx_903_edei--EntityAddressStateOrProvin"/>
            <w:bookmarkEnd w:id="10"/>
            <w:r>
              <w:rPr>
                <w:b/>
                <w:sz w:val="20"/>
              </w:rPr>
              <w:t>CA</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3_edei--EntityAddressPostalZipCode"/>
            <w:bookmarkEnd w:id="11"/>
            <w:r>
              <w:rPr>
                <w:b/>
                <w:sz w:val="20"/>
              </w:rPr>
              <w:t>94065</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716__20"/>
      <w:bookmarkEnd w:id="12"/>
      <w:r>
        <w:rPr>
          <w:rFonts w:ascii="Times New Roman;Times;Serif" w:hAnsi="Times New Roman;Times;Serif"/>
          <w:b/>
          <w:i w:val="false"/>
          <w:caps w:val="false"/>
          <w:smallCaps w:val="false"/>
          <w:sz w:val="20"/>
        </w:rPr>
        <w:t xml:space="preserve">650) </w:t>
      </w:r>
      <w:bookmarkStart w:id="13" w:name="xdx_90F_edei--LocalPhoneNumber_c20260716"/>
      <w:bookmarkEnd w:id="13"/>
      <w:r>
        <w:rPr>
          <w:rFonts w:ascii="Times New Roman;Times;Serif" w:hAnsi="Times New Roman;Times;Serif"/>
          <w:b/>
          <w:i w:val="false"/>
          <w:caps w:val="false"/>
          <w:smallCaps w:val="false"/>
          <w:sz w:val="20"/>
        </w:rPr>
        <w:t>549-1400</w:t>
        <w:b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93"/>
        <w:gridCol w:w="60"/>
        <w:gridCol w:w="1245"/>
        <w:gridCol w:w="60"/>
        <w:gridCol w:w="2547"/>
      </w:tblGrid>
      <w:tr>
        <w:trPr/>
        <w:tc>
          <w:tcPr>
            <w:tcW w:w="6293"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4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547"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293" w:type="dxa"/>
            <w:tcBorders/>
            <w:shd w:fill="CCEEFF" w:val="clear"/>
            <w:tcMar>
              <w:bottom w:w="0" w:type="dxa"/>
            </w:tcMar>
            <w:vAlign w:val="center"/>
          </w:tcPr>
          <w:p>
            <w:pPr>
              <w:pStyle w:val="TableContents"/>
              <w:bidi w:val="0"/>
              <w:spacing w:before="0" w:after="283"/>
              <w:jc w:val="center"/>
              <w:rPr>
                <w:sz w:val="20"/>
              </w:rPr>
            </w:pPr>
            <w:bookmarkStart w:id="18" w:name="xdx_90A_edei--Security12bTitle_c20260716"/>
            <w:bookmarkEnd w:id="18"/>
            <w:r>
              <w:rPr>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45" w:type="dxa"/>
            <w:tcBorders/>
            <w:shd w:fill="CCEEFF" w:val="clear"/>
            <w:tcMar>
              <w:bottom w:w="0" w:type="dxa"/>
            </w:tcMar>
            <w:vAlign w:val="center"/>
          </w:tcPr>
          <w:p>
            <w:pPr>
              <w:pStyle w:val="TableContents"/>
              <w:bidi w:val="0"/>
              <w:spacing w:before="0" w:after="283"/>
              <w:jc w:val="center"/>
              <w:rPr>
                <w:sz w:val="20"/>
              </w:rPr>
            </w:pPr>
            <w:bookmarkStart w:id="19" w:name="xdx_90B_edei--TradingSymbol_c20260716__2"/>
            <w:bookmarkEnd w:id="19"/>
            <w:r>
              <w:rPr>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47"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F_edei--SecurityExchangeName_c2026"/>
            <w:bookmarkEnd w:id="20"/>
            <w:r>
              <w:rPr>
                <w:sz w:val="20"/>
              </w:rPr>
              <w:t>Nasdaq Stock Market LLC</w:t>
            </w:r>
          </w:p>
        </w:tc>
      </w:tr>
      <w:tr>
        <w:trPr/>
        <w:tc>
          <w:tcPr>
            <w:tcW w:w="6293" w:type="dxa"/>
            <w:tcBorders/>
            <w:shd w:fill="FFFFFF" w:val="clear"/>
            <w:tcMar>
              <w:bottom w:w="0" w:type="dxa"/>
            </w:tcMar>
            <w:vAlign w:val="center"/>
          </w:tcPr>
          <w:p>
            <w:pPr>
              <w:pStyle w:val="TableContents"/>
              <w:bidi w:val="0"/>
              <w:spacing w:before="0" w:after="283"/>
              <w:jc w:val="center"/>
              <w:rPr>
                <w:sz w:val="20"/>
              </w:rPr>
            </w:pPr>
            <w:bookmarkStart w:id="21" w:name="xdx_906_edei--Security12bTitle_c20260716"/>
            <w:bookmarkEnd w:id="21"/>
            <w:r>
              <w:rPr>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45" w:type="dxa"/>
            <w:tcBorders/>
            <w:shd w:fill="FFFFFF" w:val="clear"/>
            <w:tcMar>
              <w:bottom w:w="0" w:type="dxa"/>
            </w:tcMar>
            <w:vAlign w:val="center"/>
          </w:tcPr>
          <w:p>
            <w:pPr>
              <w:pStyle w:val="TableContents"/>
              <w:bidi w:val="0"/>
              <w:spacing w:before="0" w:after="283"/>
              <w:jc w:val="center"/>
              <w:rPr>
                <w:sz w:val="20"/>
              </w:rPr>
            </w:pPr>
            <w:bookmarkStart w:id="22" w:name="xdx_907_edei--TradingSymbol_c20260716__2"/>
            <w:bookmarkEnd w:id="22"/>
            <w:r>
              <w:rPr>
                <w:sz w:val="20"/>
              </w:rPr>
              <w:t>JSPRW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547"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9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9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Jasper Therapeutics, Inc., a Delaware corporation (the “Company” or “Jasper”), acquired Kira Pharmaceuticals (“Kira”), a Cayman Islands exempted company, in accordance with the terms of the Agreement and Plan of Merger, dated July 16, 2026 (the “Merger Agreement”), by and among the Company, Kira and Kira Holdco Inc., a Delaware corporation and a wholly owned subsidiary of the Company (“Merger Sub”). Pursuant to the Merger Agreement, Kira merged with and into Merger Sub, pursuant to which Merger Sub was the surviving corporation and became a wholly owned subsidiary of the Company (the “Merger”). The Merger is intended to qualify as a tax-free reorganization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following the closing of the Merger (the “Closing”), the Company issued to the shareholders of Kira an aggregate of (i) 5,195,009 shares (the “Merger Shares”) of voting common stock of the Company, par value $0.0001 per share (the “Common Stock”), and (ii) 4,644,977 shares of non-voting convertible preferred stock of the Company, par value $0.0001 per share (the “Preferred Stock”), each share of which is convertible into 61 shares of Common Stock, subject to certain conditions described below. The powers, preferences, rights, qualifications, limitations and restrictions applicable to the Preferred Stock are set forth in the Certificate of Designation (as defined below), the description of which is set forth in Item 5.03 of this Current Report on Form 8-K and incorporated into this Item 1.01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each option to purchase Kira ordinary shares was assumed by the Company and was converted into options (the “Options”) to purchase an aggregate of 392,791 shares of Common Stock and an aggregate of 351,201 shares of Preferred Stock. In addition, pursuant to the Merger Agreement, a total of 254,462 shares of Preferred Stock were issued to the holders of Company SAFEs (as defined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options and warrants held by equityholders of Jasper immediately prior to the effective time of the Merger (the “Effective Time”) remain outstanding and unaffected by the Merger. Immediately following the consummation of the Merger but prior to giving effect to the Financing (as defined below), pre-transaction equityholders of the Company hold approximately 11.27% of the shares of Common Stock and former equityholders of Kira hold approximately 88.73% of the shares of Common Stock, in each case, calculated on a fully-diluted basis (without giving effect to any beneficial ownership limitations and assuming the conversion in full of the Preferred Stock). Following the consummation of the Financing, pre-transaction equityholders of the Company will hold approximately 6.68% of the issued and outstanding shares of Common Stock, former equityholders of Kira will hold approximately 49.86% of the issued and outstanding shares of Common Stock, and the Investors (as defined below) will hold approximately 43.46% of the issued and outstanding shares of Common Stock, in each case, calculated on a fully-diluted basis (without giving effect to any beneficial ownership limitations and assuming the conversion in full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the Purchase Agreement (as defined below), the Company has agreed to, within 120 days following the Closing, take all action reasonably necessary to hold a stockholders’ meeting to submit the following matters to its stockholders for their consideration (i) the approval, in accordance with the rules of The Nasdaq Stock Market LLC of the conversion of the Preferred Stock issued pursuant to the Merger Agreement and to be issued pursuant to the Purchase Agreement into shares of Common Stock, (ii) the ratification of the appointment of Patrick Crutcher to the Board of Directors of the Company (the “Board”) and (iii) the approval of an amendment to the Certificate of Incorporation to increase the number of authorized shares of Common Stock by an amount sufficient to permit the conversion of all Preferred Stock and PIPE Securities (as defined below) issued or reserved for issuance pursuant to the Merger Agreement and the Purchase Agreement, respectively, into Common Stock in accordance with the terms of the Certificate of Designation ((i) – (iii) collectively, the “Company Stockholder Matters”). In connection with these matters, the Company intends to file with the Securities and Exchange Commission (the “SEC”) a proxy statement and other relevant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promptly after the Effective Time, the Company has agreed to prepare and file with the SEC, a Registration Statement on Form S-8 to register the Common Stock (including shares of Common Stock issuable upon conversion of Preferred Stock issuable upon exercise of the Options) issuable upon exercise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approved the Merger Agreement and the related transactions, and the consummation of the Merger did not require the approval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and the Merger Agreement does not purport to be complete and is qualified in its entirety by reference to the Merger Agreement, which is filed as Exhibit 2.1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has been included to provide investors and security holders with information regarding its terms. It is not intended to provide any other factual information about the Company or Kira. The Merger Agreement contains representations, warranties and covenants that the Company and Kira made to each other as of specific dates. The assertions embodied in those representations, warranties and covenants were made solely for purposes of the Merger Agreement between the Company and Kira and may be subject to important qualifications and limitations agreed to by the Company and Kira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investors or securityholders, or may have been used for the purpose of allocating risk between the Company, on the one hand, and Kira, on the other hand, rather than establishing matters as facts. Moreover, information concerning the subject matter of the representations and warranties may change after the date of the Merger Agreement, which subsequent information may or may not be fully reflected in the Company’s public disclosures. For the foregoing reasons, no person should rely on the representations and warranties as statements of factual information at the time they were made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Merger Agreement, the directors and the officers of the Company, solely in their capacity as stockholders of the Company, and representing approximately 1% of the pre-transaction shares of Common Stock outstanding, executed support agreements in favor of the Company (the “Support Agreements”). The Support Agreements provide that, among other things, each of the parties thereto has agreed to vote or cause to be voted all of the shares of Common Stock owned by such stockholder in favor of the Company Stockholder Matters at the Company stockholders’ meeting to be held in connection therewith, subject to and in accordance with the terms of the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Support Agreements does not purport to be complete and is qualified in its entirety by reference to the form of the Support Agreement, which is included as Exhibit C to the Merger Agreement, which is filed as Exhibit 2.1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execution of the Merger Agreement, directors and executive officers of Kira, solely in their capacity as shareholders of Kira, certain stockholders of Kira, and all of the directors and officers of the Company, solely in their capacity as stockholders of the Company, entered into lock-up agreements (the “Lock-up Agreements”) with the Company, pursuant to which each such stockholder is subject to a lockup on the sale or transfer of shares of Common Stock and Preferred Stock held by each such stockholder at the Closing for a period of 180 days after the Closing. The Lock-up Agreements also provide that such restrictions will be terminated upon the termination of such party’s employment or service as a director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Lock-up Agreements does not purport to be complete and is qualified in its entirety by reference to the form of the Lock-up Agreement, which is included as Exhibit B to the Merger Agreement, which is filed as Exhibit 2.1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Value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contemplates that within 30 days following the Effective Time, the Company and the Rights Agent (as defined therein) will execute and deliver a contingent value rights agreement (the “CVR Agreement”), pursuant to which each holder of Common Stock of record immediately prior to the Effective Time is entitled to one (1) contractual contingent value right (“CVR”) issued by the Company, subject to and in accordance with the terms and conditions of the CVR Agreement, for each share of Common Stock held by such holder. Each CVR shall entitle the holder thereof to receive a pro rata portion of $30.0 million (the “Milestone Payment”) if the United States Food and Drug Administration issues a Priority Review Voucher (as defined in the CVR Agreement) in connection with briquilimab (the “Milestone”) on or prior to December 31, 2028 (the “Expiration Date”). If the Milestone is achieved on or prior to the Expiration Date and the Company undergoes a Change of Control (as defined in the CVR Agreement), the Company shall pay the Milestone Payment on the earlier of (i) the date of the consummation of such Change of Control and (ii) ninety (90) days following the Monetization Event (as defined in the CVR Agreement). If the Milestone is achieved on or prior to the Expiration Date but a Monetization Event has not yet occurred on or prior to the Expiration Date, the CVRs shall continue in full force and effect and shall not expire until the Milestone Payment has been paid in full, with the Milestone Payment to be paid on the date that is ninety (90) days following the Monetization Event. The CVRs are not transferable, except in certain limited circumstances as will be provided in the CVR Agreement, will not be certificated or evidenced by any instrument, and will not be registered with the SEC or listed for trading on any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CVR Agreement does not purport to be complete and is qualified in its entirety by reference to the form of the CVR Agreement, which is included as Exhibit F to the Merger Agreement, which is filed as Exhibit 2.1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and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Securities Purchase Agreement (the “Purchase Agreement”) with the purchasers named therein (the “Investors”). Pursuant to the Purchase Agreement, the Company agreed to sell an aggregate of approximately 4.7 million shares of Preferred Stock (the “PIPE Securities”) for an aggregate cash purchase price of approximately $132 million (the “Financing”). Each share of Preferred Stock will be convertible into 61 shares of Common Stock, subject to certain conditions. The powers, preferences, rights, qualifications, limitations and restrictions applicable to the Preferred Stock are set forth in the Certificate of Designation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Financing is expected to occur on July 20, 2026, the second business day after the date of the Merger Agreement, subject to customary closing conditions set forth in the Purchase Agreement including the accuracy of representations and warranties, compliance with covenants and the delivery of customary closing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Purchase Agreement does not purport to be complete and is qualified in its entirety by reference to the Purchase Agreement, which is filed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the Company entered into a Registration Rights Agreement (the “Registration Rights Agreement”) with the Investors. Pursuant to the Registration Rights Agreement, the Company is required to prepare and file a resale registration statement with respect to the shares of Common Stock issuable upon conversion of the PIPE Securities with the SEC within 90 calendar days following the date of the closing of the Financing (the “Filing Deadline”). The Company shall use its reasonable best efforts to cause this registration statement to be declared effective by the SEC by the thirtieth calendar day (or, in the event the SEC reviews the registration statement, the sixtieth calendar day) following the earlier of the Filing Deadline and the date the registration statement is filed with the SEC; provided, however, that if the Company is notified by the SEC that the registration statement will not be reviewed or is no longer subject to further review and comments, the deadline shall be the fifth trading day following the date on which the Company is so notified.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agreed to, among other things, indemnify the Investors, their officers, directors, members, employees, partners, managers, stockholders, affiliates, investment advisors and agents under the registration statement from certain liabilities and pay all fees and expenses (excluding any legal fees of the selling holder(s), and any underwriting discounts and selling commissions) incident to the Company’s obligations under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is exempt from registration pursuant to Section 4(a)(2) of the Securities Act of 1933, as amended (the “Securities Act”), promulgated thereunder, as a transaction by an issuer not involving a public offering, and Rule 506 of Regulation D. The Investors have acquired the securities for investment only and not with a view to or for sale in connection with any distribution thereof, and appropriate legends have been affixed to the securities issued in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Registration Rights Agreement does not purport to be complete and is qualified in its entirety by reference to the form of Registration Rights Agreement, which is filed as Exhibit 10.2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Mirador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Kira entered into a License Agreement (the “Mirador License Agreement”) with Mirador Therapeutics, Inc. (“Mirador”). Pursuant to the Mirador License Agreement, Kira granted to Mirador an exclusive, worldwide, royalty-bearing license, with the right to grant sublicenses through multiple tiers, under certain patents (“Kira Licensed Patents”) and know-how controlled by Kira, including patent rights licensed to Kira under its License Agreement with The Trustees of the University of Pennsylvania, dated June 9, 2017 (as amended), to develop, manufacture and commercialize products containing Kira’s proprietary anti-C5a antibody (designated internally as KP301) and anti-C5aR small molecule compound (designated internally as KP402) (“Kira Licensed Products”) for all uses and indications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license, Mirador agreed to pay Kira an upfront payment of $12,000,000. Mirador is also obligated to pay Kira up to an aggregate of $108,500,000 in development and regulatory milestone payments and up to an aggregate of $350,000,000 in commercial, net sales-based milestone payments across all Kira Licensed Products upon the achievement of certain development, regulatory and commercial milestones. Mirador will pay tiered royalties to Kira based on annual net sales of Kira Licensed Products, ranging from low to mid-single digits. Royalties are payable, on a Kira Licensed Product-by-Kira Licensed Product and country-by-country basis, during the applicable royalty term, which commences with the first commercial sale of such Kira Licensed Product in such country and continues until the latest of (a) expiration of the last-to-expire Kira Licensed Patent claim covering the applicable Kira Licensed Product in the such country, (b) 12 years after the first commercial sale of such Kira Licensed Product in such country, and (c) expiration of regulatory exclusivity for such Kira Licensed Product in such country.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Mirador License Agreement, Kira agreed, subject to certain exceptions, not to itself develop, manufacture or commercialize, or grant any third party a license with respect to, any compound, antibody or product directed to C5a or C5aR during the applicable exclusivity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Mirador License Agreement continues until the expiration of the last royalty term applicable to any Kira Licensed Product in any country, unless earlier terminated. Mirador may terminate the Mirador License Agreement, in whole or with respect to a particular Kira Licensed Product or country, for convenience upon 90 days’ prior written notice to Kira, or for Kira’s uncured material breach or the occurrence of specified insolvency events of Kira. Kira may terminate the Mirador License Agreement for Mirador’s uncured material breach, for the occurrence of specified insolvency events of Mirador, or if Mirador challenges a Kira Licensed Patent. Upon certain terminations, Mirador is required to grant Kira a reversionary license, together with related regulatory approval transfer and technology transfer rights, as more fully described in the Mirador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Mirador License Agreement also contains customary representations, warranties and covenants, including provisions relating to diligence, regulatory matters, reporting obligations, indemnity, limitation of liability, confidentiality and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Mirador License Agreement does not purport to be complete and is qualified in its entirety by reference to the form of Mirador License Agreement, a copy of which will be filed with the Company’s Quarterly Report on Form 10-Q for the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completed its acquisition of Kira. The information contained in Item 1.01 of this Current Report on Form 8-K is incorporated by reference into this Item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by reference into this Item 3.02. The PIPE Securities were offered and sold in transactions exempt from registration under the Securities Act, in reliance on Section 4(a)(2) thereof and Rule 506 of Regulation D thereunder. Each of the Investors represented that it was an “accredited investor,” as defined in Regulation D, and is acquiring the PIPE Securities for investment only and not with a view towards, or for resale in connection with, the public sale or distribution thereof. The PIPE Securities have not been registered under the Securities Act and the PIPE Securities may not be offered or sold in the United States absent registration or an exemption from registration under the Securities Act and any applicable state securities laws. Neither this Current Report on Form 8-K nor any of the exhibits attached hereto is an offer to sell or the solicitation of an offer to buy shares of Common Stock or Preferred Stock or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Company issued the Merger Shares and shares of Preferred Stock. The information contained in Item 2.01 of this Current Report on Form 8-K is incorporated by reference into this Item 3.02. Such issuances were exempt from registration pursuant to Section 4(a)(2) of the Securities Act and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Merger Agreement, on July 16, 2026, Vishal Kapoor and Scott Brun, M.D., notified the Board of their resignations, each effective immediately after the Effective Time. Neither Mr. Kapoor’s nor Dr. Brun’s resignation is a result of any disagreement with the Company on any matter relating to the Company’s operations, policies or practices. In connection with the resignations of Mr. Kapoor and Mr. Brun from the Board, the Board reduced the authorized number of members of the Board from eight to six, effective immediately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Merger Agreement, on July 16, 2026, the Board appointed Patrick Crutcher, age 41, to the Board as a Class I director, effective as of immediately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Crutcher has over 15 years’ experience establishing and building private and public biotechnology companies, with a focus on business development, precision therapeutics for rare diseases and biologics in drug development. Mr. Crutcher is currently the Founder &amp; Chairman of AstralBio, Inc., MPN Therapeutics, Inc., ImmuneStudio, Inc. and is managing member of Chyma Bioventures LLC. He also co-founded Helicore Biopharma, Inc., an obesity company backed by Orbimed and Versant. Mr. Crutcher served as Co-Founder, CEO and director of Mach5 Therapeutics from April 2024 through the company’s acquisition by Kira in March 2026. Mr. Crutcher served as a Director of CrossBridge Bio, Inc. from March 2023 through the company’s acquisition by Eli Lilly (NYSE: LLY) for up to $300M in April 2026. Mr. Crutcher served as Co-Founder, CEO and director of AlmataBio Inc. from April 2023 through the company’s acquisition by Avalo Therapeutics Inc. (Nasdaq: AVTX) for $40M in March 2024 and as the Co-Founder, CEO and director of ValenzaBio from December 2019 through the company’s acquisition by Acelyrin (Nasdaq: SLRN) for $240M in January 2023 before their $600M IPO. Mr. Crutcher also served as Chairman and President of Ichorion Therapeutics, Inc. from July 2017 until its acquisition by Cerecor in September 2018. Mr. Crutcher received a B.S. in Mathematics from the University of Illinois and an M.S. and C.Phil. in Statistics from the University of California, Los Angeles.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Merger Agreement and Item 1.01 above, there are no arrangements or understandings between Mr. Crutcher and any other person pursuant to which he was appointed as a director of the Company. Mr. Crutcher is not a party to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a director, Mr. Crutcher entered into an indemnification agreement with the Company in the same form as its standard form of indemnification agreement with its other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Company’s Non-Employee Director Compensation Policy (the “Policy”), as a non-employee director of the Company, Mr. Crutcher is initially entitled to receive cash compensation in the amount of $40,000 per year for his service on the Board, prorated for the portion of the year on which he serves on the Board. In addition, pursuant to the Policy, on July 16, 2026, the effective date of his appointment, Mr. Crutcher was granted a one-time non-statutory stock option to purchase 15,000 shares of Common Stock, of which 25% of the total number of shares subject to the option shall vest on the one-year anniversary of the date of grant and 1/48th of the total number of shares subject to the option shall vest monthly thereafter, in each case subject to Mr. Crutcher’s continuous service to the Company through each applicable vesting date. Notwithstanding anything to the contrary in the Policy, the option grant shall be subject to the terms and conditions of the Company’s equity plan and additional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Mr. Crutcher’s appointment to the Board, he was also appointed to the Audit Committee of the Board and the Nominating and Corporate Governance Committee of the Board.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Merger Agreement, on July 16, 2026, the Board appointed Matthew Ros, age 60, as the Chief Operating Officer of the Company, effective as of immediately after the Effective Time. Mr. Ros will not be entering into an employment agreement with the Company in connection with his appointment as Chief Operating Officer as of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2019, Mr. Ros has served as a Board Member of Cogent Biosciences and has more than 37 years of experience in global pharmaceutical and early-stage biotechnology companies with a track record of raising capital in both public and private markets, building high-performing teams, and leading turnarounds and transformations that reposition companies for sustainable, long-term growth. Most recently, Mr. Ros served as the Chief Operating Officer of Verastem, Inc., a late-stage fully integrated commercial company. Prior to Verastem, Mr. Ros served as Chief Executive Officer and Director of Fore Biotherapeutics Inc., a private, early clinical-stage precision oncology company focused on recurrent central nervous system malignancies. Mr. Ros also served as Chief Strategy and Business Officer and Chief Operating Officer of Epizyme, Inc., a biopharmaceutical company, ultimately acquired by Ipsen S.A. He also held senior leadership positions at Sanofi and Genzyme, including Chief Operating Officer and Global Head of the Oncology Business Unit. Earlier in his career, Mr. Ros served in senior leadership roles at ARIAD Pharmaceuticals and Bristol-Myers Squibb. Mr. Ros received a B.S. in Business Administration from the State University of New York at Plattsburgh.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Ros has no family relationships with any of the executive officers or directors of the Company. Except as otherwise described in the Merger Agreement, there are no arrangements or understandings between Mr. Ros and any other person pursuant to which he was appointed as an executive officer of the Company. Mr. Ros is not party to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a Chief Operating Officer, Mr. Ros entered into an indemnification agreement with the Company in the same form as its standard form of indemnification agreement with its other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5.03</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filed with the Secretary of State of the State of Delaware a Certificate of Designation of Preferences, Rights and Limitations of the Non-Voting Convertible Preferred Stock (the “Certificate of Designation”) in connection with the Merger and the Financing referenced in Item 1.01 above. The Certificate of Designation sets forth the designations, powers, preferences and relative, participating, optional or other special rights, and the qualifications, limitations or restrictions thereof,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Preferred Stock are entitled to receive dividends on shares of Preferred Stock equal (on an as-if-converted-to-Common-Stock basis)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provided, however that no holders of Preferred Stock are entitled to receive the rights distributed pursuant to the CVR, or any amounts paid under the CVR.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Preferred Stock will have no voting rights. However, as long as any shares of Preferred Stock are outstanding, the Company will not, without the affirmative vote of the holders of a majority of the then outstanding shares of the Preferred Stock: (i) alter or change adversely the powers, preferences or rights given to the Preferred Stock or alter or amend the Certificate of Designation, amend or repeal any provision of, or add any provision to, the Company’s Amended and Restated Certificate of Incorporation, as amended (the “Certificate of Incorporation”), or the Third Amended and Restated Bylaws of the Company, or file any articles of amendment, certificate of designations, preferences, limitations and relative rights of any series of Preferred Stock, in each case, if such action would adversely alter or change the preferences, rights, privileges or powers of, or restrictions provided for the benefit of the Preferred Stock, regardless of whether any of the foregoing actions will be by means of amendment to the Certificate of Incorporation or by merger, consolidation or otherwise, (ii) issue further shares of Preferred Stock or increase or decrease (other than by conversion) the number of authorized shares of Preferred Stock, (iii) prior to the Stockholder Approval (as defined in the Certificate of Designation), consummate either: (A) any Fundamental Transaction (as defined in the Certificate of Designation) or (B) any merger or consolidation of the Company with or into another entity or any stock sale to, or other business combination in which the stockholders of the Company immediately before such transaction do not hold at least a majority of the voting power of the capital stock of the Company immediately after such transaction in which the Company issues securities in such transaction that represent or are convertible into securities representing more than a majority of the voting power of the Company immediately before such transaction, (iv) prior to the Stockholder Approval, authorize or issue any class or series of stock that has powers, preferences or rights that are senior or pari passu to those of the Preferred Stock, (v) amend, waive or modify the Merger Agreement in any manner that would be reasonably likely to prevent, impede or materially delay the Stockholder Approval or the Automatic Conversion (as defined below) or (vi) enter into any agreement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third business day following the receipt of Stockholder Approval, each share of Preferred Stock shall automatically convert into a number of shares of Common Stock equal to the Conversion Ratio (as defined below) (the “Automatic Conversion”), subject to certain limitations, including that a holder of Preferred Stock is prohibited from converting shares of Preferred Stock into shares of Common Stock if, as a result of such conversion, such holder, together with its affiliates, would beneficially own more than a specified percentage (to be established by the holder between 4.9% and 19.9%) of the total number of shares of Common Stock issued and outstanding immediately after giving effect to such conversion. The “Conversion Ratio” for each share of Preferred Stock shall be 61 shares of Common Stock issuable upon the conversion of each share of Preferred Stock (corresponding to a ratio of 61:1), subject to adjustment as provided in the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after the earlier of (i) approval of the Company Stockholder Matters or (ii) twelve months after the initial issuance of the Preferred Stock, the Company fails to deliver to the holder of the Preferred Stock shares of Common Stock underlying such shares Preferred Stock, then (other than in certain circumstances set forth in the Certificate of Designation), the Company will pay, at the request of such holder, an amount of cash by wire transfer of immediately available funds equal to the Fair Value (as defined in the Certificate of Designation) of such undelivered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Preferred Stock does not purport to be complete and is qualified in its entirety by reference to the Certificate of Designation, a copy of which is filed as Exhibit 3.1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made available the Company’s investor presentation to be used in general corporate and investor communications. A copy of the investor presentation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the presentation attached as Exhibit 99.1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to this Current Report on Form 8-K, shall not be deemed to be incorporated by reference in the filings of the Company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factual statements made herein, information contained in this Current Report on Form 8-K consists of forward-looking statements within the meaning of the Private Securities Litigation Reform Act of 1995 that involve risks, uncertainties and assumptions that are difficult to predict. Words and expressions reflecting optimism, satisfaction or disappointment with current prospects or future events, as well as words such as “believes,” “intends,” “expects,” “plans” and similar expressions, or the use of future tense, identify forward-looking statements, but their absence does not mean that a statement is not forward-looking. Such forward-looking statements, include, but are not limited to, statements related to the Merger Agreement and the Merger, including the intended tax treatment of the Merger and any potential approval of the Company Stockholder Matters; the Company’s intent to file a Registration Statement on Form S-8; statements relating to the Financing, including the expected timing, closing and gross proceeds and the expected filing of the resale registration statement; the CVR Agreement, including any achievement of the Milestone or timing for the Milestone Payment; and statements related to the automatic conversion of the Preferred Stock, and are not guarantees of performance and actual actions or events could differ materially from those contained in such statements. These statements are subject to a number of risks and uncertainties, and actual results may differ materially. These risks and uncertainties include, but are not limited to, the Company’s ability to consummate the Financing or realize the anticipated benefits from the transactions, including as a result of its failure to receive the approval of the Company Stockholder Matters; the Company’s ability to attract or retain key management, members of the board of directors and other personnel; the impacts of general macroeconomic and geopolitical conditions on the Company’s business and financial position; and other risks and uncertainties detailed from time to time in the Company’s periodic reports filed with the SEC, including the Company’s most recent Annual Report on Form 10-K and any subsequent Quarterly Reports on Form 10-Q. The forward-looking statements contained in this Current Report on Form 8-K speak only as of the date of this Current Report on Form 8-K and the Company assumes no obligation to publicly update any forward-looking statements to reflect changes in information, events or circumstances after the date of this Current Report on Form 8-K,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75"/>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920" w:type="dxa"/>
            <w:tcBorders/>
            <w:vAlign w:val="center"/>
          </w:tcPr>
          <w:p>
            <w:pPr>
              <w:pStyle w:val="TableContents"/>
              <w:bidi w:val="0"/>
              <w:spacing w:before="0" w:after="283"/>
              <w:jc w:val="both"/>
              <w:rPr/>
            </w:pPr>
            <w:r>
              <w:rPr/>
              <w:t>Financial statements of business acquired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required by this Item 9.01(a) are not included in this Current Report on Form 8-K. The Company intends to include such financial statements by amendment to this Current Report on Form 8-K no later than 71 calendar days after the date this Current Report on Form 8-K is required to be filed.</w:t>
      </w:r>
    </w:p>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9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005" w:type="dxa"/>
            <w:tcBorders/>
            <w:vAlign w:val="center"/>
          </w:tcPr>
          <w:p>
            <w:pPr>
              <w:pStyle w:val="TableContents"/>
              <w:bidi w:val="0"/>
              <w:spacing w:before="0" w:after="283"/>
              <w:jc w:val="both"/>
              <w:rPr/>
            </w:pPr>
            <w:r>
              <w:rPr/>
              <w:t>Pro forma financial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required by this Item 9.01(b) is not included in this Current Report on Form 8-K. The Company intends to include such pro forma financial information by amendment to this Current Report on Form 8-K no later than 71 calendar days after the date this Current Report on Form 8-K is required to be filed.</w:t>
      </w:r>
    </w:p>
    <w:p>
      <w:pPr>
        <w:pStyle w:val="TextBody"/>
        <w:bidi w:val="0"/>
        <w:spacing w:before="0" w:after="0"/>
        <w:ind w:left="0" w:right="0" w:hanging="0"/>
        <w:jc w:val="left"/>
        <w:rPr>
          <w:caps w:val="false"/>
          <w:smallCaps w:val="false"/>
        </w:rPr>
      </w:pPr>
      <w:r>
        <w:rPr>
          <w:caps w:val="false"/>
          <w:smallCaps w:val="false"/>
        </w:rPr>
        <w:t> </w:t>
      </w:r>
    </w:p>
    <w:tbl>
      <w:tblPr>
        <w:tblW w:w="1128" w:type="dxa"/>
        <w:jc w:val="left"/>
        <w:tblInd w:w="0" w:type="dxa"/>
        <w:tblLayout w:type="fixed"/>
        <w:tblCellMar>
          <w:top w:w="0" w:type="dxa"/>
          <w:left w:w="0" w:type="dxa"/>
          <w:bottom w:w="0" w:type="dxa"/>
          <w:right w:w="0" w:type="dxa"/>
        </w:tblCellMar>
      </w:tblPr>
      <w:tblGrid>
        <w:gridCol w:w="38"/>
        <w:gridCol w:w="275"/>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center"/>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center"/>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29822901ex2-1.htm">
              <w:r>
                <w:rPr>
                  <w:rStyle w:val="InternetLink"/>
                  <w:sz w:val="20"/>
                </w:rPr>
                <w:t>Agreement and Plan of Merger, dated July 16, 2026, by and among Jasper Therapeutics, Inc., Kira Holdco Inc. and Kira Pharmaceuticals.</w:t>
              </w:r>
            </w:hyperlink>
          </w:p>
        </w:tc>
      </w:tr>
      <w:tr>
        <w:trPr/>
        <w:tc>
          <w:tcPr>
            <w:tcW w:w="725" w:type="dxa"/>
            <w:tcBorders/>
            <w:shd w:fill="FFFFFF" w:val="clear"/>
            <w:tcMar>
              <w:bottom w:w="0" w:type="dxa"/>
            </w:tcMar>
            <w:vAlign w:val="center"/>
          </w:tcPr>
          <w:p>
            <w:pPr>
              <w:pStyle w:val="TableContents"/>
              <w:bidi w:val="0"/>
              <w:spacing w:before="0" w:after="283"/>
              <w:jc w:val="center"/>
              <w:rPr>
                <w:sz w:val="20"/>
              </w:rPr>
            </w:pPr>
            <w:r>
              <w:rPr>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hyperlink w:anchor="ea029822901ex3-1.htm">
              <w:r>
                <w:rPr>
                  <w:rStyle w:val="InternetLink"/>
                  <w:sz w:val="20"/>
                </w:rPr>
                <w:t>Jasper Therapeutics, Inc. Certificate of Designation of Preferences, Rights and Limitations of Non-Voting Convertible Preferred Stock.</w:t>
              </w:r>
            </w:hyperlink>
          </w:p>
        </w:tc>
      </w:tr>
      <w:tr>
        <w:trPr/>
        <w:tc>
          <w:tcPr>
            <w:tcW w:w="725"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29822901ex10-1.htm">
              <w:r>
                <w:rPr>
                  <w:rStyle w:val="InternetLink"/>
                  <w:sz w:val="20"/>
                </w:rPr>
                <w:t>Form of Securities Purchase Agreement, dated as of July 16, 2026, by and among Jasper Therapeutics, Inc. and each investor listed on Exhibit A thereto.</w:t>
              </w:r>
            </w:hyperlink>
          </w:p>
        </w:tc>
      </w:tr>
      <w:tr>
        <w:trPr/>
        <w:tc>
          <w:tcPr>
            <w:tcW w:w="725" w:type="dxa"/>
            <w:tcBorders/>
            <w:shd w:fill="FFFFFF" w:val="clear"/>
            <w:tcMar>
              <w:bottom w:w="0" w:type="dxa"/>
            </w:tcMar>
            <w:vAlign w:val="center"/>
          </w:tcPr>
          <w:p>
            <w:pPr>
              <w:pStyle w:val="TableContents"/>
              <w:bidi w:val="0"/>
              <w:spacing w:before="0" w:after="283"/>
              <w:jc w:val="center"/>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hyperlink w:anchor="ea029822901ex10-2.htm">
              <w:r>
                <w:rPr>
                  <w:rStyle w:val="InternetLink"/>
                  <w:sz w:val="20"/>
                </w:rPr>
                <w:t>Form of Registration Rights Agreement, by and among Jasper Therapeutics, Inc. and the investors signatory thereto.</w:t>
              </w:r>
            </w:hyperlink>
          </w:p>
        </w:tc>
      </w:tr>
      <w:tr>
        <w:trPr/>
        <w:tc>
          <w:tcPr>
            <w:tcW w:w="725" w:type="dxa"/>
            <w:tcBorders/>
            <w:shd w:fill="CCEEFF" w:val="clear"/>
            <w:tcMar>
              <w:bottom w:w="0" w:type="dxa"/>
            </w:tcMar>
            <w:vAlign w:val="center"/>
          </w:tcPr>
          <w:p>
            <w:pPr>
              <w:pStyle w:val="TableContents"/>
              <w:bidi w:val="0"/>
              <w:spacing w:before="0" w:after="283"/>
              <w:jc w:val="center"/>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29822901ex99-1.htm">
              <w:r>
                <w:rPr>
                  <w:rStyle w:val="InternetLink"/>
                  <w:sz w:val="20"/>
                </w:rPr>
                <w:t>Jasper Therapeutics, Inc. Corporate Presentation, dated July 16, 2026.</w:t>
              </w:r>
            </w:hyperlink>
          </w:p>
        </w:tc>
      </w:tr>
      <w:tr>
        <w:trPr/>
        <w:tc>
          <w:tcPr>
            <w:tcW w:w="725" w:type="dxa"/>
            <w:tcBorders/>
            <w:shd w:fill="FFFFFF" w:val="clear"/>
            <w:tcMar>
              <w:bottom w:w="0" w:type="dxa"/>
            </w:tcMar>
            <w:vAlign w:val="center"/>
          </w:tcPr>
          <w:p>
            <w:pPr>
              <w:pStyle w:val="TableContents"/>
              <w:bidi w:val="0"/>
              <w:spacing w:before="0" w:after="283"/>
              <w:jc w:val="center"/>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sz w:val="20"/>
              </w:rPr>
            </w:pPr>
            <w:r>
              <w:rPr>
                <w:sz w:val="20"/>
              </w:rPr>
              <w:t>Schedules have been omitted pursuant to Item 601(a)(5) of Regulation S-K. The Company hereby undertakes to furnish supplemental copies of any of the omitted schedules upon request by the SEC; provided, that the Company may request confidential treatment pursuant to Rule 24b-2 of the Securities Exchange Act of 1934, as amended, for any schedules so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1625"/>
        <w:gridCol w:w="320"/>
        <w:gridCol w:w="710"/>
        <w:gridCol w:w="2225"/>
      </w:tblGrid>
      <w:tr>
        <w:trPr/>
        <w:tc>
          <w:tcPr>
            <w:tcW w:w="1625" w:type="dxa"/>
            <w:tcBorders/>
            <w:vAlign w:val="center"/>
          </w:tcPr>
          <w:p>
            <w:pPr>
              <w:pStyle w:val="TableContents"/>
              <w:bidi w:val="0"/>
              <w:spacing w:before="0" w:after="283"/>
              <w:jc w:val="left"/>
              <w:rPr/>
            </w:pPr>
            <w:r>
              <w:rPr/>
              <w:t> </w:t>
            </w:r>
          </w:p>
        </w:tc>
        <w:tc>
          <w:tcPr>
            <w:tcW w:w="3255" w:type="dxa"/>
            <w:gridSpan w:val="3"/>
            <w:tcBorders/>
            <w:vAlign w:val="center"/>
          </w:tcPr>
          <w:p>
            <w:pPr>
              <w:pStyle w:val="TableContents"/>
              <w:bidi w:val="0"/>
              <w:spacing w:before="0" w:after="283"/>
              <w:jc w:val="left"/>
              <w:rPr>
                <w:b/>
                <w:sz w:val="20"/>
              </w:rPr>
            </w:pPr>
            <w:r>
              <w:rPr>
                <w:b/>
                <w:sz w:val="20"/>
              </w:rPr>
              <w:t>JASPER THERAPEUTICS, INC.</w:t>
            </w:r>
          </w:p>
        </w:tc>
      </w:tr>
      <w:tr>
        <w:trPr/>
        <w:tc>
          <w:tcPr>
            <w:tcW w:w="1625" w:type="dxa"/>
            <w:tcBorders/>
            <w:vAlign w:val="center"/>
          </w:tcPr>
          <w:p>
            <w:pPr>
              <w:pStyle w:val="TableContents"/>
              <w:bidi w:val="0"/>
              <w:spacing w:before="0" w:after="283"/>
              <w:jc w:val="left"/>
              <w:rPr/>
            </w:pPr>
            <w:r>
              <w:rPr/>
              <w:t> </w:t>
            </w:r>
          </w:p>
        </w:tc>
        <w:tc>
          <w:tcPr>
            <w:tcW w:w="3255"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16, 2026</w:t>
            </w:r>
          </w:p>
        </w:tc>
        <w:tc>
          <w:tcPr>
            <w:tcW w:w="320" w:type="dxa"/>
            <w:tcBorders/>
            <w:vAlign w:val="center"/>
          </w:tcPr>
          <w:p>
            <w:pPr>
              <w:pStyle w:val="TableContents"/>
              <w:bidi w:val="0"/>
              <w:spacing w:before="0" w:after="283"/>
              <w:jc w:val="left"/>
              <w:rPr>
                <w:sz w:val="20"/>
              </w:rPr>
            </w:pPr>
            <w:r>
              <w:rPr>
                <w:sz w:val="20"/>
              </w:rPr>
              <w:t>By:</w:t>
            </w:r>
          </w:p>
        </w:tc>
        <w:tc>
          <w:tcPr>
            <w:tcW w:w="2935" w:type="dxa"/>
            <w:gridSpan w:val="2"/>
            <w:tcBorders>
              <w:bottom w:val="single" w:sz="12" w:space="0" w:color="000000"/>
            </w:tcBorders>
            <w:tcMar>
              <w:bottom w:w="28" w:type="dxa"/>
            </w:tcMar>
            <w:vAlign w:val="center"/>
          </w:tcPr>
          <w:p>
            <w:pPr>
              <w:pStyle w:val="TableContents"/>
              <w:bidi w:val="0"/>
              <w:spacing w:before="0" w:after="283"/>
              <w:jc w:val="left"/>
              <w:rPr/>
            </w:pPr>
            <w:r>
              <w:rPr/>
              <w:t>/s/ Herb Cross</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Name: </w:t>
            </w:r>
          </w:p>
        </w:tc>
        <w:tc>
          <w:tcPr>
            <w:tcW w:w="2225" w:type="dxa"/>
            <w:tcBorders/>
            <w:vAlign w:val="center"/>
          </w:tcPr>
          <w:p>
            <w:pPr>
              <w:pStyle w:val="TableContents"/>
              <w:bidi w:val="0"/>
              <w:spacing w:before="0" w:after="283"/>
              <w:jc w:val="left"/>
              <w:rPr/>
            </w:pPr>
            <w:r>
              <w:rPr/>
              <w:t>Herb Cross</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right"/>
        <w:rPr>
          <w:b/>
        </w:rPr>
      </w:pPr>
      <w:bookmarkStart w:id="26" w:name="ea029822901ex2-1.htm"/>
      <w:bookmarkStart w:id="27" w:name="ksea029822901ex21"/>
      <w:bookmarkEnd w:id="26"/>
      <w:bookmarkEnd w:id="27"/>
      <w:r>
        <w:rPr>
          <w:b/>
        </w:rPr>
        <w:t>Exhibit 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KIRA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KIRA PHARMACEUTICALS,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Cayman Islands exempted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
        <w:gridCol w:w="8946"/>
        <w:gridCol w:w="456"/>
      </w:tblGrid>
      <w:tr>
        <w:trPr/>
        <w:tc>
          <w:tcPr>
            <w:tcW w:w="803"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TRANSACTION</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Merger</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Effects of the Merger</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Effective Time</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Certificate of Designation; Certificate of Incorporation and Bylaws; Directors and Officers of Surviving Corporation and Parent</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Merger Consideration; Effect of Merger on Company Shares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Conversion of Shares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of the Company’s Register of Members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9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Exchange of Shares</w:t>
            </w:r>
            <w:r>
              <w:rPr>
                <w:rFonts w:ascii="Times New Roman;Times;Serif" w:hAnsi="Times New Roman;Times;Serif"/>
                <w:sz w:val="20"/>
              </w:rPr>
              <w:t>.</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Appraisal Rights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Awards; Company SAFEs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Calculation of Parent Net Cash</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Contingent Value Right</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Further Action</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Withholding</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REPRESENTATIONS AND WARRANTIES OF THE COMPANY</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Due Organization; Subsidiaries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Organizational Documents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Authority; Binding Nature of Agreement</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Vote Required</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Non-Contravention; Consents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Capitalization</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Absence of Changes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Absence of Undisclosed Liabilities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to Assets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Real Property; Leasehold</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Intellectual Property</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Agreements, Contracts and Commitments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Permits; Restrictions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89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Proceedings; Orders</w:t>
            </w:r>
          </w:p>
        </w:tc>
        <w:tc>
          <w:tcPr>
            <w:tcW w:w="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8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894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Matters</w:t>
            </w:r>
          </w:p>
        </w:tc>
        <w:tc>
          <w:tcPr>
            <w:tcW w:w="4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815" w:type="dxa"/>
        <w:jc w:val="left"/>
        <w:tblInd w:w="0" w:type="dxa"/>
        <w:tblLayout w:type="fixed"/>
        <w:tblCellMar>
          <w:top w:w="0" w:type="dxa"/>
          <w:left w:w="0" w:type="dxa"/>
          <w:bottom w:w="0" w:type="dxa"/>
          <w:right w:w="0" w:type="dxa"/>
        </w:tblCellMar>
      </w:tblPr>
      <w:tblGrid>
        <w:gridCol w:w="845"/>
        <w:gridCol w:w="6725"/>
        <w:gridCol w:w="245"/>
      </w:tblGrid>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 and Labor Matters; Benefit Plans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Environmental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Financial Advisors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Transactions with Affiliates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6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International Trade Compliance</w:t>
            </w: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Anti-Bribery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2.24.</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Accredited Investors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2.25.</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Disclaimer of Other Representations or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REPRESENTATIONS AND WARRANTIES OF PARENT AND MERGER  SUB</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Due Organization; Subsidiaries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Organizational Documents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Authority; Binding Nature of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Vote Required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Non-Contravention; Consents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Capitalization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 Filings; Financial Statements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Absence of Changes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Absence of Undisclosed Liabilities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to Assets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Real Property; Leasehold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Intellectual Property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Agreements, Contracts and Commitments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Permits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Proceedings; Orders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 and Labor Matters; Benefit Plans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Environmental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Transactions with Affiliates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Opinion of Financial Advisor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Financial Advisors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Anti-Bribery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International Trade Compliance</w:t>
            </w: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67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Valid Issuance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3.26.</w:t>
            </w:r>
          </w:p>
        </w:tc>
        <w:tc>
          <w:tcPr>
            <w:tcW w:w="67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Disclaimer of Other Representations or 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715" w:type="dxa"/>
        <w:jc w:val="left"/>
        <w:tblInd w:w="0" w:type="dxa"/>
        <w:tblLayout w:type="fixed"/>
        <w:tblCellMar>
          <w:top w:w="0" w:type="dxa"/>
          <w:left w:w="0" w:type="dxa"/>
          <w:bottom w:w="0" w:type="dxa"/>
          <w:right w:w="0" w:type="dxa"/>
        </w:tblCellMar>
      </w:tblPr>
      <w:tblGrid>
        <w:gridCol w:w="845"/>
        <w:gridCol w:w="7625"/>
        <w:gridCol w:w="245"/>
      </w:tblGrid>
      <w:tr>
        <w:trPr/>
        <w:tc>
          <w:tcPr>
            <w:tcW w:w="8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ADDITIONAL AGREEMENTS OF THE PARTIES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 Shareholder Matters; Required Company Shareholder Vote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Parent Stockholders’ Meeting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Reservation of Parent Voting Common Stock; Issuance of Shares of Parent Common Stock</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 Benefits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of Officers and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Additional Agreements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Proxy Statement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Listing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Legends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Officers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Board Observers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16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Takeover Statutes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Parent Options and Parent RSUs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Parent Warrants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Obligations of Merger Sub</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Private Placement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Audited Financial Statements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CONDITIONS PRECEDENT TO OBLIGATIONS OF EACH PARTY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Restraints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Listing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Certificate of Designation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Concurrent Investment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DELIVERIES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Documents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FIRPTA Certificate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 Lock-Up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Required Company Shareholder Vote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DELIVERIES OF PARENT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Documents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Parent Lock-Up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MISCELLANEOUS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Non-Survival of Representations and 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Waiver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Entire Agreement; Counterparts; Exchanges by Electronic Transmission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Applicable Law; Jurisdiction; WAIVER OF JURY TRIAL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Assignability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Cooperation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8.9.</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8.10.</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Remedies; Specific Performance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8.11.</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Third-Party Beneficiaries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8.12.</w:t>
            </w:r>
          </w:p>
        </w:tc>
        <w:tc>
          <w:tcPr>
            <w:tcW w:w="76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Construction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8.13.</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Expenses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830"/>
        <w:gridCol w:w="3920"/>
      </w:tblGrid>
      <w:tr>
        <w:trPr/>
        <w:tc>
          <w:tcPr>
            <w:tcW w:w="830" w:type="dxa"/>
            <w:tcBorders/>
            <w:vAlign w:val="center"/>
          </w:tcPr>
          <w:p>
            <w:pPr>
              <w:pStyle w:val="TableContents"/>
              <w:bidi w:val="0"/>
              <w:spacing w:before="0" w:after="283"/>
              <w:jc w:val="left"/>
              <w:rPr>
                <w:sz w:val="20"/>
              </w:rPr>
            </w:pPr>
            <w:r>
              <w:rPr>
                <w:sz w:val="20"/>
              </w:rPr>
              <w:t>Exhibit A</w:t>
            </w:r>
          </w:p>
        </w:tc>
        <w:tc>
          <w:tcPr>
            <w:tcW w:w="3920" w:type="dxa"/>
            <w:tcBorders/>
            <w:vAlign w:val="center"/>
          </w:tcPr>
          <w:p>
            <w:pPr>
              <w:pStyle w:val="TableContents"/>
              <w:bidi w:val="0"/>
              <w:spacing w:before="0" w:after="283"/>
              <w:jc w:val="left"/>
              <w:rPr>
                <w:sz w:val="20"/>
              </w:rPr>
            </w:pPr>
            <w:r>
              <w:rPr>
                <w:sz w:val="20"/>
              </w:rPr>
              <w:t>Definitions</w:t>
            </w:r>
          </w:p>
        </w:tc>
      </w:tr>
      <w:tr>
        <w:trPr/>
        <w:tc>
          <w:tcPr>
            <w:tcW w:w="830" w:type="dxa"/>
            <w:tcBorders/>
            <w:vAlign w:val="center"/>
          </w:tcPr>
          <w:p>
            <w:pPr>
              <w:pStyle w:val="TableContents"/>
              <w:bidi w:val="0"/>
              <w:spacing w:before="0" w:after="283"/>
              <w:jc w:val="left"/>
              <w:rPr>
                <w:sz w:val="20"/>
              </w:rPr>
            </w:pPr>
            <w:r>
              <w:rPr>
                <w:sz w:val="20"/>
              </w:rPr>
              <w:t>Exhibit B</w:t>
            </w:r>
          </w:p>
        </w:tc>
        <w:tc>
          <w:tcPr>
            <w:tcW w:w="3920" w:type="dxa"/>
            <w:tcBorders/>
            <w:vAlign w:val="center"/>
          </w:tcPr>
          <w:p>
            <w:pPr>
              <w:pStyle w:val="TableContents"/>
              <w:bidi w:val="0"/>
              <w:spacing w:before="0" w:after="283"/>
              <w:jc w:val="left"/>
              <w:rPr>
                <w:sz w:val="20"/>
              </w:rPr>
            </w:pPr>
            <w:r>
              <w:rPr>
                <w:sz w:val="20"/>
              </w:rPr>
              <w:t>Form of Lock-Up Agreement</w:t>
            </w:r>
          </w:p>
        </w:tc>
      </w:tr>
      <w:tr>
        <w:trPr/>
        <w:tc>
          <w:tcPr>
            <w:tcW w:w="830" w:type="dxa"/>
            <w:tcBorders/>
            <w:vAlign w:val="center"/>
          </w:tcPr>
          <w:p>
            <w:pPr>
              <w:pStyle w:val="TableContents"/>
              <w:bidi w:val="0"/>
              <w:spacing w:before="0" w:after="283"/>
              <w:jc w:val="left"/>
              <w:rPr>
                <w:sz w:val="20"/>
              </w:rPr>
            </w:pPr>
            <w:r>
              <w:rPr>
                <w:sz w:val="20"/>
              </w:rPr>
              <w:t>Exhibit C</w:t>
            </w:r>
          </w:p>
        </w:tc>
        <w:tc>
          <w:tcPr>
            <w:tcW w:w="3920" w:type="dxa"/>
            <w:tcBorders/>
            <w:vAlign w:val="center"/>
          </w:tcPr>
          <w:p>
            <w:pPr>
              <w:pStyle w:val="TableContents"/>
              <w:bidi w:val="0"/>
              <w:spacing w:before="0" w:after="283"/>
              <w:jc w:val="left"/>
              <w:rPr>
                <w:sz w:val="20"/>
              </w:rPr>
            </w:pPr>
            <w:r>
              <w:rPr>
                <w:sz w:val="20"/>
              </w:rPr>
              <w:t xml:space="preserve">Form of Parent Stockholder Support Agreement </w:t>
            </w:r>
          </w:p>
        </w:tc>
      </w:tr>
      <w:tr>
        <w:trPr/>
        <w:tc>
          <w:tcPr>
            <w:tcW w:w="830" w:type="dxa"/>
            <w:tcBorders/>
            <w:vAlign w:val="center"/>
          </w:tcPr>
          <w:p>
            <w:pPr>
              <w:pStyle w:val="TableContents"/>
              <w:bidi w:val="0"/>
              <w:spacing w:before="0" w:after="283"/>
              <w:jc w:val="left"/>
              <w:rPr>
                <w:sz w:val="20"/>
              </w:rPr>
            </w:pPr>
            <w:r>
              <w:rPr>
                <w:sz w:val="20"/>
              </w:rPr>
              <w:t>Exhibit D</w:t>
            </w:r>
          </w:p>
        </w:tc>
        <w:tc>
          <w:tcPr>
            <w:tcW w:w="3920" w:type="dxa"/>
            <w:tcBorders/>
            <w:vAlign w:val="center"/>
          </w:tcPr>
          <w:p>
            <w:pPr>
              <w:pStyle w:val="TableContents"/>
              <w:bidi w:val="0"/>
              <w:spacing w:before="0" w:after="283"/>
              <w:jc w:val="left"/>
              <w:rPr>
                <w:sz w:val="20"/>
              </w:rPr>
            </w:pPr>
            <w:r>
              <w:rPr>
                <w:sz w:val="20"/>
              </w:rPr>
              <w:t xml:space="preserve">Form of PIPE Purchase Agreement </w:t>
            </w:r>
          </w:p>
        </w:tc>
      </w:tr>
      <w:tr>
        <w:trPr/>
        <w:tc>
          <w:tcPr>
            <w:tcW w:w="830" w:type="dxa"/>
            <w:tcBorders/>
            <w:vAlign w:val="center"/>
          </w:tcPr>
          <w:p>
            <w:pPr>
              <w:pStyle w:val="TableContents"/>
              <w:bidi w:val="0"/>
              <w:spacing w:before="0" w:after="283"/>
              <w:jc w:val="left"/>
              <w:rPr>
                <w:sz w:val="20"/>
              </w:rPr>
            </w:pPr>
            <w:r>
              <w:rPr>
                <w:sz w:val="20"/>
              </w:rPr>
              <w:t>Exhibit E</w:t>
            </w:r>
          </w:p>
        </w:tc>
        <w:tc>
          <w:tcPr>
            <w:tcW w:w="3920" w:type="dxa"/>
            <w:tcBorders/>
            <w:vAlign w:val="center"/>
          </w:tcPr>
          <w:p>
            <w:pPr>
              <w:pStyle w:val="TableContents"/>
              <w:bidi w:val="0"/>
              <w:spacing w:before="0" w:after="283"/>
              <w:jc w:val="left"/>
              <w:rPr>
                <w:sz w:val="20"/>
              </w:rPr>
            </w:pPr>
            <w:r>
              <w:rPr>
                <w:sz w:val="20"/>
              </w:rPr>
              <w:t>Form of Certificate of Designation</w:t>
            </w:r>
          </w:p>
        </w:tc>
      </w:tr>
      <w:tr>
        <w:trPr/>
        <w:tc>
          <w:tcPr>
            <w:tcW w:w="830" w:type="dxa"/>
            <w:tcBorders/>
            <w:vAlign w:val="center"/>
          </w:tcPr>
          <w:p>
            <w:pPr>
              <w:pStyle w:val="TableContents"/>
              <w:bidi w:val="0"/>
              <w:spacing w:before="0" w:after="283"/>
              <w:jc w:val="left"/>
              <w:rPr>
                <w:sz w:val="20"/>
              </w:rPr>
            </w:pPr>
            <w:r>
              <w:rPr>
                <w:sz w:val="20"/>
              </w:rPr>
              <w:t>Exhibit F</w:t>
            </w:r>
          </w:p>
        </w:tc>
        <w:tc>
          <w:tcPr>
            <w:tcW w:w="3920" w:type="dxa"/>
            <w:tcBorders/>
            <w:vAlign w:val="center"/>
          </w:tcPr>
          <w:p>
            <w:pPr>
              <w:pStyle w:val="TableContents"/>
              <w:bidi w:val="0"/>
              <w:spacing w:before="0" w:after="283"/>
              <w:jc w:val="left"/>
              <w:rPr>
                <w:sz w:val="20"/>
              </w:rPr>
            </w:pPr>
            <w:r>
              <w:rPr>
                <w:sz w:val="20"/>
              </w:rPr>
              <w:t xml:space="preserve">Form of CVR Agreement </w:t>
            </w:r>
          </w:p>
        </w:tc>
      </w:tr>
      <w:tr>
        <w:trPr/>
        <w:tc>
          <w:tcPr>
            <w:tcW w:w="830" w:type="dxa"/>
            <w:tcBorders/>
            <w:vAlign w:val="center"/>
          </w:tcPr>
          <w:p>
            <w:pPr>
              <w:pStyle w:val="TableContents"/>
              <w:bidi w:val="0"/>
              <w:spacing w:before="0" w:after="283"/>
              <w:jc w:val="left"/>
              <w:rPr>
                <w:sz w:val="20"/>
              </w:rPr>
            </w:pPr>
            <w:r>
              <w:rPr>
                <w:sz w:val="20"/>
              </w:rPr>
              <w:t>Exhibit G</w:t>
            </w:r>
          </w:p>
        </w:tc>
        <w:tc>
          <w:tcPr>
            <w:tcW w:w="3920" w:type="dxa"/>
            <w:tcBorders/>
            <w:vAlign w:val="center"/>
          </w:tcPr>
          <w:p>
            <w:pPr>
              <w:pStyle w:val="TableContents"/>
              <w:bidi w:val="0"/>
              <w:spacing w:before="0" w:after="283"/>
              <w:jc w:val="left"/>
              <w:rPr>
                <w:sz w:val="20"/>
              </w:rPr>
            </w:pPr>
            <w:r>
              <w:rPr>
                <w:sz w:val="20"/>
              </w:rPr>
              <w:t>Post-Closing Directors and Officers</w:t>
            </w:r>
          </w:p>
        </w:tc>
      </w:tr>
      <w:tr>
        <w:trPr/>
        <w:tc>
          <w:tcPr>
            <w:tcW w:w="830" w:type="dxa"/>
            <w:tcBorders/>
            <w:vAlign w:val="center"/>
          </w:tcPr>
          <w:p>
            <w:pPr>
              <w:pStyle w:val="TableContents"/>
              <w:bidi w:val="0"/>
              <w:spacing w:before="0" w:after="283"/>
              <w:jc w:val="left"/>
              <w:rPr>
                <w:sz w:val="20"/>
              </w:rPr>
            </w:pPr>
            <w:r>
              <w:rPr>
                <w:sz w:val="20"/>
              </w:rPr>
              <w:t>Exhibit H</w:t>
            </w:r>
          </w:p>
        </w:tc>
        <w:tc>
          <w:tcPr>
            <w:tcW w:w="3920" w:type="dxa"/>
            <w:tcBorders/>
            <w:vAlign w:val="center"/>
          </w:tcPr>
          <w:p>
            <w:pPr>
              <w:pStyle w:val="TableContents"/>
              <w:bidi w:val="0"/>
              <w:spacing w:before="0" w:after="283"/>
              <w:jc w:val="left"/>
              <w:rPr>
                <w:sz w:val="20"/>
              </w:rPr>
            </w:pPr>
            <w:r>
              <w:rPr>
                <w:sz w:val="20"/>
              </w:rPr>
              <w:t>Form of Plan of Merger</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is made and entered into as of July 16, 2026, by and among Jasper Therapeutics,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Kira Holdco Inc., a Delaware corporation and wholly owned Subsidiary of Parent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Kira Pharmaceuticals, a Cayman Islands exempted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Certain capitalized terms used in this Agreement are defined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the Company intend to effect a merger of the Company with and into Merger Sub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in accordance with this Agreement, the DGCL and Part 16 of the Companies Act (as revised) of the Cayman Islands (the “</w:t>
      </w:r>
      <w:r>
        <w:rPr>
          <w:rFonts w:ascii="Times New Roman;Times;Serif" w:hAnsi="Times New Roman;Times;Serif"/>
          <w:b/>
          <w:i/>
          <w:caps w:val="false"/>
          <w:smallCaps w:val="false"/>
          <w:sz w:val="20"/>
        </w:rPr>
        <w:t>Companies Act</w:t>
      </w:r>
      <w:r>
        <w:rPr>
          <w:rFonts w:ascii="Times New Roman;Times;Serif" w:hAnsi="Times New Roman;Times;Serif"/>
          <w:b w:val="false"/>
          <w:i w:val="false"/>
          <w:caps w:val="false"/>
          <w:smallCaps w:val="false"/>
          <w:sz w:val="20"/>
        </w:rPr>
        <w:t>”), with Merger Sub being the surviving Entity of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intend that the Merger will constitute a “reorganization” within the meaning of Section 368(a)(1)(A) and Section 368(a)(2)(D) of the Code, and by executing this Agreement, the Parties intend to adopt this Agreement as a plan of reorganization within the meaning of Treasury Regulations Sections 1.368-2(g) and 1.368-3(a).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Board has (i) determined that this Agreement and the Contemplated Transactions are advisable and in the best interests of Parent and its stockholders, (ii) approved and declared advisable this Agreement and the Contemplated Transactions, including the issuance of the Parent Common Stock Payment Shares and the Parent Preferred Stock Payment Shares to the shareholders of the Company pursuant to the terms of this Agreement, and (iii) determined to recommend, upon the terms and subject to the conditions set forth in this Agreement, that the stockholders of the Parent vote to approve the Parent Stockholder Matters at the Parent Stockholders’ Meeting to be convened following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Merger Sub Board has (i) determined that this Agreement and the Contemplated Transactions are advisable and in the best interests of Merger Sub and its sole stockholder, (ii) approved and declared advisable this Agreement and the Contemplated Transactions, (iii) directed that this Agreement be submitted to the sole stockholder of Merger Sub for its adoption, and (iv) determined to recommend that the sole stockholder of Merger Sub vote in favor of the adoption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Board has (i) determined that the terms of this Agreement, the Plan of Merger and the Contemplated Transactions are in the best interests of the Company, (ii) approved and declared it advisable to enter into this Agreement, the Plan of Merger and the Contemplated Transactions and (iii) resolved to recommend, upon the terms and subject to the conditions set forth in this Agreement, that the shareholders of the Company authorize this Agreement and the Plan of Merger at the Company Shareholder Meeting and vote to approve the Company Shareholder Matters by the Required Company Shareholder Vote and the Preferred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execution of this Agreement by the Company, and the adoption, approval and authorization by the Company of the Plan of Merger and the Contemplated Transactions, are conditional upon the Company obtaining the Required Company Shareholder Vote and the Preferred Consent immediately prior to the execution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Immediately following the execution of this Agreement, but prior to the filing of the Certificate of Merger, Parent will file the Certificate of Designation with the office of the Secretary of State of the State of Delaware.</w:t>
      </w:r>
    </w:p>
    <w:p>
      <w:pPr>
        <w:pStyle w:val="TextBody"/>
        <w:bidi w:val="0"/>
        <w:spacing w:before="0" w:after="0"/>
        <w:ind w:left="0" w:right="0" w:firstLine="72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Concurrently with the execution of this Agreement and as a condition and inducement to each of Parent and the Company’s willingness to enter into this Agreement, all of the directors and executive officers of Parent, solely in their capacity as stockholders of Parent (the “</w:t>
      </w:r>
      <w:r>
        <w:rPr>
          <w:rFonts w:ascii="Times New Roman;Times;Serif" w:hAnsi="Times New Roman;Times;Serif"/>
          <w:b/>
          <w:i/>
          <w:caps w:val="false"/>
          <w:smallCaps w:val="false"/>
          <w:sz w:val="20"/>
        </w:rPr>
        <w:t>Parent Signatories</w:t>
      </w:r>
      <w:r>
        <w:rPr>
          <w:rFonts w:ascii="Times New Roman;Times;Serif" w:hAnsi="Times New Roman;Times;Serif"/>
          <w:b w:val="false"/>
          <w:i w:val="false"/>
          <w:caps w:val="false"/>
          <w:smallCaps w:val="false"/>
          <w:sz w:val="20"/>
        </w:rPr>
        <w:t xml:space="preserve">”), and all of the directors, all of the officers and the shareholders of the Company listed in </w:t>
      </w:r>
      <w:r>
        <w:rPr>
          <w:rFonts w:ascii="Times New Roman;Times;Serif" w:hAnsi="Times New Roman;Times;Serif"/>
          <w:b w:val="false"/>
          <w:i w:val="false"/>
          <w:caps w:val="false"/>
          <w:smallCaps w:val="false"/>
          <w:sz w:val="20"/>
          <w:u w:val="single"/>
        </w:rPr>
        <w:t>Section A</w:t>
      </w:r>
      <w:r>
        <w:rPr>
          <w:rFonts w:ascii="Times New Roman;Times;Serif" w:hAnsi="Times New Roman;Times;Serif"/>
          <w:b w:val="false"/>
          <w:i w:val="false"/>
          <w:caps w:val="false"/>
          <w:smallCaps w:val="false"/>
          <w:sz w:val="20"/>
        </w:rPr>
        <w:t xml:space="preserve"> of the Company Disclosure Schedule (solely in their capacity as shareholders of the Company) (the “</w:t>
      </w:r>
      <w:r>
        <w:rPr>
          <w:rFonts w:ascii="Times New Roman;Times;Serif" w:hAnsi="Times New Roman;Times;Serif"/>
          <w:b/>
          <w:i/>
          <w:caps w:val="false"/>
          <w:smallCaps w:val="false"/>
          <w:sz w:val="20"/>
        </w:rPr>
        <w:t>Company Signatories</w:t>
      </w:r>
      <w:r>
        <w:rPr>
          <w:rFonts w:ascii="Times New Roman;Times;Serif" w:hAnsi="Times New Roman;Times;Serif"/>
          <w:b w:val="false"/>
          <w:i w:val="false"/>
          <w:caps w:val="false"/>
          <w:smallCaps w:val="false"/>
          <w:sz w:val="20"/>
        </w:rPr>
        <w:t xml:space="preserve">”) are executing lock-up agreements in substantially the form attached hereto as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Concurrently with the execution of this Agreement and as a condition and inducement to the Company’s willingness to enter into this Agreement, all of the directors and all of the executive officers of Parent (solely in their capacity as stockholders of Parent), are executing support agreements in favor of the Company in substantially the form attached hereto as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Parent Stockholder Support Agreement</w:t>
      </w:r>
      <w:r>
        <w:rPr>
          <w:rFonts w:ascii="Times New Roman;Times;Serif" w:hAnsi="Times New Roman;Times;Serif"/>
          <w:b w:val="false"/>
          <w:i w:val="false"/>
          <w:caps w:val="false"/>
          <w:smallCaps w:val="false"/>
          <w:sz w:val="20"/>
        </w:rPr>
        <w:t>”), pursuant to which such Persons have, subject to the terms and conditions set forth therein, agreed to vote all of their shares of capital stock of Parent in favor of the Parent Stockholder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Concurrently with the execution of this Agreement, the Parent has entered into a securities purchase agreement with certain investors, in substantially the form attached hereto as </w:t>
      </w:r>
      <w:r>
        <w:rPr>
          <w:rFonts w:ascii="Times New Roman;Times;Serif" w:hAnsi="Times New Roman;Times;Serif"/>
          <w:b/>
          <w:i w:val="false"/>
          <w:caps w:val="false"/>
          <w:smallCaps w:val="false"/>
          <w:sz w:val="20"/>
        </w:rPr>
        <w:t>Exhibit D</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PIPE Purchase Agreement</w:t>
      </w:r>
      <w:r>
        <w:rPr>
          <w:rFonts w:ascii="Times New Roman;Times;Serif" w:hAnsi="Times New Roman;Times;Serif"/>
          <w:b w:val="false"/>
          <w:i w:val="false"/>
          <w:caps w:val="false"/>
          <w:smallCaps w:val="false"/>
          <w:sz w:val="20"/>
        </w:rPr>
        <w:t>”), pursuant to which all such investors, upon the terms and subject to the conditions set forth in the PIPE Purchase Agreement, shall purchase shares of Parent Convertible Preferred Stock at the Purchase Price (as defined in the PIPE Purchase Agreement), in a private placement (the “</w:t>
      </w:r>
      <w:r>
        <w:rPr>
          <w:rFonts w:ascii="Times New Roman;Times;Serif" w:hAnsi="Times New Roman;Times;Serif"/>
          <w:b/>
          <w:i/>
          <w:caps w:val="false"/>
          <w:smallCaps w:val="false"/>
          <w:sz w:val="20"/>
        </w:rPr>
        <w:t>Concurrent Investment</w:t>
      </w:r>
      <w:r>
        <w:rPr>
          <w:rFonts w:ascii="Times New Roman;Times;Serif" w:hAnsi="Times New Roman;Times;Serif"/>
          <w:b w:val="false"/>
          <w:i w:val="false"/>
          <w:caps w:val="false"/>
          <w:smallCaps w:val="false"/>
          <w:sz w:val="20"/>
        </w:rPr>
        <w:t>”) to be consummated on the second (2nd) Business Day after the date hereof, or at such other time and place as the Parent may designate by notice to all such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intending to be legally bound, agree as follows: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DESCRIPTION OF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The Merger</w:t>
      </w:r>
      <w:r>
        <w:rPr>
          <w:rFonts w:ascii="Times New Roman;Times;Serif" w:hAnsi="Times New Roman;Times;Serif"/>
          <w:b w:val="false"/>
          <w:i w:val="false"/>
          <w:caps w:val="false"/>
          <w:smallCaps w:val="false"/>
          <w:sz w:val="20"/>
        </w:rPr>
        <w:t>. Upon the terms and subject to the conditions set forth in this Agreement and in accordance with applicable provisions of the DGCL and the Companies Act, at the Effective Time, the Company shall be merged with and into Merger Sub, following which, the Company will be struck off the Register of Companies in the Cayman Islands and the separate existence of the Company shall cease. As a result of the Merger, Merger Sub will continue as the surviving entity in the Merger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Effects of the Merger</w:t>
      </w:r>
      <w:r>
        <w:rPr>
          <w:rFonts w:ascii="Times New Roman;Times;Serif" w:hAnsi="Times New Roman;Times;Serif"/>
          <w:b w:val="false"/>
          <w:i w:val="false"/>
          <w:caps w:val="false"/>
          <w:smallCaps w:val="false"/>
          <w:sz w:val="20"/>
        </w:rPr>
        <w:t>. At and after the Effective Time, the Merger shall have the effects set forth in this Agreement, the Plan of Merger, the Certificate of Merger and in the applicable provisions of the DGCL and the Companies Act. Without limiting the generality of the foregoing, and subject thereto,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Closing; Effective Time</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is being consummated remotely via the electronic exchange of documents and signatures on the Closing Date, or at such other time, date and place as Parent and the Company may mutually agree in writing. The date on which the Closing actually takes place is referred to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Upon the terms and subject to the conditions set forth herein, contemporaneously with the Closing, the Parties shall (a) cause the Plan of Merger to be duly executed and filed with the Registrar of Companies of the Cayman Islands (the “</w:t>
      </w:r>
      <w:r>
        <w:rPr>
          <w:rFonts w:ascii="Times New Roman;Times;Serif" w:hAnsi="Times New Roman;Times;Serif"/>
          <w:b/>
          <w:i/>
          <w:caps w:val="false"/>
          <w:smallCaps w:val="false"/>
          <w:sz w:val="20"/>
        </w:rPr>
        <w:t>Cayman Registrar</w:t>
      </w:r>
      <w:r>
        <w:rPr>
          <w:rFonts w:ascii="Times New Roman;Times;Serif" w:hAnsi="Times New Roman;Times;Serif"/>
          <w:b w:val="false"/>
          <w:i w:val="false"/>
          <w:caps w:val="false"/>
          <w:smallCaps w:val="false"/>
          <w:sz w:val="20"/>
        </w:rPr>
        <w:t>”) as provided by Section 233 and Section 237 of the Companies Act, and make any other filings, declarations, undertakings, certificates, documents, recordings or publications (as applicable) required to be made by the Company or Merger Sub under the relevant provisions of the Companies Act in connection with the Merger (together, the “</w:t>
      </w:r>
      <w:r>
        <w:rPr>
          <w:rFonts w:ascii="Times New Roman;Times;Serif" w:hAnsi="Times New Roman;Times;Serif"/>
          <w:b/>
          <w:i/>
          <w:caps w:val="false"/>
          <w:smallCaps w:val="false"/>
          <w:sz w:val="20"/>
        </w:rPr>
        <w:t>Cayman Merger Documents</w:t>
      </w:r>
      <w:r>
        <w:rPr>
          <w:rFonts w:ascii="Times New Roman;Times;Serif" w:hAnsi="Times New Roman;Times;Serif"/>
          <w:b w:val="false"/>
          <w:i w:val="false"/>
          <w:caps w:val="false"/>
          <w:smallCaps w:val="false"/>
          <w:sz w:val="20"/>
        </w:rPr>
        <w:t>”), and (b) cause the Merger to be consummated by executing and filing with the Secretary of State of the State of Delaware a certificate of merger with respect to the Merger, satisfying the applicable requirements of the DGCL and in form and substance to be agreed upon by the Parties (the “</w:t>
      </w:r>
      <w:r>
        <w:rPr>
          <w:rFonts w:ascii="Times New Roman;Times;Serif" w:hAnsi="Times New Roman;Times;Serif"/>
          <w:b/>
          <w:i/>
          <w:caps w:val="false"/>
          <w:smallCaps w:val="false"/>
          <w:sz w:val="20"/>
        </w:rPr>
        <w:t>Certificate of Merger</w:t>
      </w:r>
      <w:r>
        <w:rPr>
          <w:rFonts w:ascii="Times New Roman;Times;Serif" w:hAnsi="Times New Roman;Times;Serif"/>
          <w:b w:val="false"/>
          <w:i w:val="false"/>
          <w:caps w:val="false"/>
          <w:smallCaps w:val="false"/>
          <w:sz w:val="20"/>
        </w:rPr>
        <w:t>”). The Merger shall become effective at such date as the Plan of Merger is registered with the Cayman Registrar or on such other date subsequent to the date of registration as Parent and the Company shall agree in writing and shall specify in the Plan of Merger (the time as of which the Merger becomes effective being referred to as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Certificate of Designation; Certificate of Incorporation and Bylaws; Directors and Officers of Surviving Corporation and Parent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Parent will file the Certificate of Designation with the office of the Secretary of State of the State of Delaware.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Effective Time: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certificate of incorporation of Merger Sub as in effect immediately prior to the Effective Time shall, by virtue of the Merger, be the certificate of incorporation of the Surviving Corporation until thereafter amended as provided by the DGCL and such certificate of incorporation;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bylaws of the Surviving Corporation shall be identical to the bylaws of the Merger Sub immediately prior to the Effective Time, until thereafter amended as provided by the DGCL and such bylaws;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certificate of incorporation of Parent shall be identical to the certificate of incorporation of Parent immediately prior to the Effective Time, until thereafter amended as provided by the DGCL and such certificate of incorporation;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parties shall take all necessary action so that, at the Effective Time, the directors and officers of Parent, shall be as set forth in </w:t>
      </w:r>
      <w:r>
        <w:rPr>
          <w:rFonts w:ascii="Times New Roman;Times;Serif" w:hAnsi="Times New Roman;Times;Serif"/>
          <w:b w:val="false"/>
          <w:i w:val="false"/>
          <w:caps w:val="false"/>
          <w:smallCaps w:val="false"/>
          <w:sz w:val="20"/>
          <w:u w:val="single"/>
        </w:rPr>
        <w:t xml:space="preserve">Section 4.11, with </w:t>
      </w:r>
      <w:r>
        <w:rPr>
          <w:rFonts w:ascii="Times New Roman;Times;Serif" w:hAnsi="Times New Roman;Times;Serif"/>
          <w:b w:val="false"/>
          <w:i w:val="false"/>
          <w:caps w:val="false"/>
          <w:smallCaps w:val="false"/>
          <w:sz w:val="20"/>
        </w:rPr>
        <w:t>each to serve until his or her respective successor is duly elected and qualified or until the earlier of his or her death, resignation or removal;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parties shall take all necessary action so that, at the Effective Time, the directors and officers of the Surviving Corporation shall be determined in accordance with </w:t>
      </w:r>
      <w:r>
        <w:rPr>
          <w:rFonts w:ascii="Times New Roman;Times;Serif" w:hAnsi="Times New Roman;Times;Serif"/>
          <w:b w:val="false"/>
          <w:i w:val="false"/>
          <w:caps w:val="false"/>
          <w:smallCaps w:val="false"/>
          <w:sz w:val="20"/>
          <w:u w:val="single"/>
        </w:rPr>
        <w:t xml:space="preserve">Section 4.11, with </w:t>
      </w:r>
      <w:r>
        <w:rPr>
          <w:rFonts w:ascii="Times New Roman;Times;Serif" w:hAnsi="Times New Roman;Times;Serif"/>
          <w:b w:val="false"/>
          <w:i w:val="false"/>
          <w:caps w:val="false"/>
          <w:smallCaps w:val="false"/>
          <w:sz w:val="20"/>
        </w:rPr>
        <w:t>each to serve until his or her respective successor is duly elected and qualified or until the earlier of his or her death,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Merger Consideration; Effect of Merger on Company Shares</w:t>
      </w:r>
      <w:r>
        <w:rPr>
          <w:rFonts w:ascii="Times New Roman;Times;Serif" w:hAnsi="Times New Roman;Times;Serif"/>
          <w:b w:val="false"/>
          <w:i w:val="false"/>
          <w:caps w:val="false"/>
          <w:smallCaps w:val="false"/>
          <w:sz w:val="20"/>
        </w:rPr>
        <w:t>. The aggregate merger consideration (the “</w:t>
      </w:r>
      <w:r>
        <w:rPr>
          <w:rFonts w:ascii="Times New Roman;Times;Serif" w:hAnsi="Times New Roman;Times;Serif"/>
          <w:b/>
          <w:i/>
          <w:caps w:val="false"/>
          <w:smallCaps w:val="false"/>
          <w:sz w:val="20"/>
        </w:rPr>
        <w:t>Merger Consideration</w:t>
      </w:r>
      <w:r>
        <w:rPr>
          <w:rFonts w:ascii="Times New Roman;Times;Serif" w:hAnsi="Times New Roman;Times;Serif"/>
          <w:b w:val="false"/>
          <w:i w:val="false"/>
          <w:caps w:val="false"/>
          <w:smallCaps w:val="false"/>
          <w:sz w:val="20"/>
        </w:rPr>
        <w:t>”) to be issued by Parent for all of the outstanding Company Shares and Company SAFEs at the Closing and amounts reserved for Company Options shall be (a) 5,587,800 shares of Parent Voting Common Stock (“</w:t>
      </w:r>
      <w:r>
        <w:rPr>
          <w:rFonts w:ascii="Times New Roman;Times;Serif" w:hAnsi="Times New Roman;Times;Serif"/>
          <w:b/>
          <w:i/>
          <w:caps w:val="false"/>
          <w:smallCaps w:val="false"/>
          <w:sz w:val="20"/>
        </w:rPr>
        <w:t>Parent Common Stock Payment Shares</w:t>
      </w:r>
      <w:r>
        <w:rPr>
          <w:rFonts w:ascii="Times New Roman;Times;Serif" w:hAnsi="Times New Roman;Times;Serif"/>
          <w:b w:val="false"/>
          <w:i w:val="false"/>
          <w:caps w:val="false"/>
          <w:smallCaps w:val="false"/>
          <w:sz w:val="20"/>
        </w:rPr>
        <w:t>”), which shares shall represent a number of shares equal to no more than 19.9% of the outstanding shares of Parent Common Stock as of immediately before the Effective Time (the “</w:t>
      </w:r>
      <w:r>
        <w:rPr>
          <w:rFonts w:ascii="Times New Roman;Times;Serif" w:hAnsi="Times New Roman;Times;Serif"/>
          <w:b/>
          <w:i/>
          <w:caps w:val="false"/>
          <w:smallCaps w:val="false"/>
          <w:sz w:val="20"/>
        </w:rPr>
        <w:t>Parent Common Stock Consideration Cap</w:t>
      </w:r>
      <w:r>
        <w:rPr>
          <w:rFonts w:ascii="Times New Roman;Times;Serif" w:hAnsi="Times New Roman;Times;Serif"/>
          <w:b w:val="false"/>
          <w:i w:val="false"/>
          <w:caps w:val="false"/>
          <w:smallCaps w:val="false"/>
          <w:sz w:val="20"/>
        </w:rPr>
        <w:t>”), (b) in the event the aggregate number of shares of Parent Common Stock Payment Shares issued at Closing or reserved for issuance at Closing would result in the issuance of, or reservation of, shares of Parent Voting Common Stock in an amount in excess of the Parent Common Stock Consideration Cap, Parent shall issue to such Company shareholders and reserve for issuance to such holders of Company Options shares of Parent Voting Common Stock up to the Parent Common Stock Consideration Cap and shall issue as the remaining balance to such stockholders and reserve for issuance to such holders of Company Options a total of 4,996,178 shares of Parent Convertible Preferred Stock (“</w:t>
      </w:r>
      <w:r>
        <w:rPr>
          <w:rFonts w:ascii="Times New Roman;Times;Serif" w:hAnsi="Times New Roman;Times;Serif"/>
          <w:b/>
          <w:i/>
          <w:caps w:val="false"/>
          <w:smallCaps w:val="false"/>
          <w:sz w:val="20"/>
        </w:rPr>
        <w:t>Parent Preferred Stock Payment Shares</w:t>
      </w:r>
      <w:r>
        <w:rPr>
          <w:rFonts w:ascii="Times New Roman;Times;Serif" w:hAnsi="Times New Roman;Times;Serif"/>
          <w:b w:val="false"/>
          <w:i w:val="false"/>
          <w:caps w:val="false"/>
          <w:smallCaps w:val="false"/>
          <w:sz w:val="20"/>
        </w:rPr>
        <w:t xml:space="preserve">”), and (c) a total of 254,462 Parent Preferred Stock Payment Shares to the holders of Company SAFEs in accordance with Section 1.10(c). Each Parent Preferred Stock Payment Share shall be convertible into 61 shares of Parent Voting Common Stock, subject to and contingent upon the affirmative vote of a majority of the Parent Voting Common Stock present or represented and entitled to vote at a meeting of stockholders of Parent to approve, for purposes of the Nasdaq rules, the issuance of shares of Parent Voting Common Stock to the shareholders of the Company upon conversion of any and all shares of Parent Convertible Preferred Stock in accordance with the terms of the Certificate of Designation in substantially the form attached hereto as </w:t>
      </w:r>
      <w:r>
        <w:rPr>
          <w:rFonts w:ascii="Times New Roman;Times;Serif" w:hAnsi="Times New Roman;Times;Serif"/>
          <w:b/>
          <w:i w:val="false"/>
          <w:caps w:val="false"/>
          <w:smallCaps w:val="false"/>
          <w:sz w:val="20"/>
        </w:rPr>
        <w:t>Exhibit 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Preferred Stock Conversion Proposal</w:t>
      </w:r>
      <w:r>
        <w:rPr>
          <w:rFonts w:ascii="Times New Roman;Times;Serif" w:hAnsi="Times New Roman;Times;Serif"/>
          <w:b w:val="false"/>
          <w:i w:val="false"/>
          <w:caps w:val="false"/>
          <w:smallCaps w:val="false"/>
          <w:sz w:val="20"/>
        </w:rPr>
        <w:t xml:space="preserve">”) and further subject to receipt of the requisite Parent stockholder approval of the Parent Voting Common Stock Proposal and the filing of an amendment to Parent’s certificate of incorporation to implement the Parent Voting Common Stock Proposal with the office of the Secretary of State of the State of Delaware. Subject to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 each holder of Company Shares and Company Options shall be entitled to receive, or have reserved, as applicable, the same proportion of Parent Common Stock Payment Shares and Parent Preferred Stock Payment Shares.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Conversion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further action on the part of Parent, Merger Sub, the Company or any shareholder of the Company, Merger Sub or Parent: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Company Ordinary Shares and Company Preferred Shares held as treasury shares (if any) or held or owned by the Company or any wholly owned Subsidiary of the Company immediately prior to the Effective Time shall be automatically canceled and shall cease to exist, and no consideration shall be delivered in exchange therefor;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each Company Share issued and outstanding immediately prior to the Effective Time (excluding shares to be canceled pursuant to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and excluding Dissenting Shares) shall be automatically canceled and converted into the right to receive an aggregate number of Parent Common Stock Payment Shares and Parent Preferred Stock Payment Shares equal to the Exchange Ratio, allocated in accordance with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as set forth on the Allocation Certificate;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share of capital stock of Merger Sub, par value $0.01 per share, issued and outstanding immediately prior to the Effective Time shall be unchanged and remain as an issued and outstanding share of capital stock of the Surviving 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Company Shares issued and outstanding immediately prior to the Effective Time are subject to a repurchase option under any applicable restricted stock purchase agreement or other similar agreement with the Company, as of immediately prior to the Effective Time, such Company Shares shall no longer be subject to any right of repurchase or other such conditions and shall be canceled and exchanged into Parent Common Stock Payment Shares and Parent Preferred Stock Payment Shares in accordance with </w:t>
      </w:r>
      <w:r>
        <w:rPr>
          <w:rFonts w:ascii="Times New Roman;Times;Serif" w:hAnsi="Times New Roman;Times;Serif"/>
          <w:b w:val="false"/>
          <w:i w:val="false"/>
          <w:caps w:val="false"/>
          <w:smallCaps w:val="false"/>
          <w:sz w:val="20"/>
          <w:u w:val="single"/>
        </w:rPr>
        <w:t>Section 1.6(a)(ii)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fractional shares of Parent Voting Common Stock and Parent Convertible Preferred Stock shall be issued in connection with the Merger, and no certificates or scrip for any such fractional shares shall be issued and no cash shall be paid for any such fractional share. Any fractional shares of Parent Voting Common Stock and Parent Convertible Preferred Stock that a holder of Company Ordinary Shares and/or Company Preferred Shares would otherwise be entitled to receive shall be aggregated with all fractional shares of Parent Voting Common Stock issuable to such holder or a fraction of a share of Parent Convertible Preferred Stock issuable to such holder and any remaining fractional shares shall be rounded down to the nearest whole share.</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between the date of this Agreement and the Effective Time, the issued and outstanding Company Ordinary Shares or Company Preferred Shares or Parent Common Stock or Parent Convertible Preferred Stock shall have been changed into, or exchanged for, a different number of shares or a different class, by reason of any share or stock dividend, subdivision, reclassification, recapitalization, split, combination or exchange of shares or other like change, the Exchange Ratio shall, to the extent necessary, be equitably adjusted to reflect such change to the extent necessary to provide the holders of Company Ordinary Shares and Company Preferred Shares and Parent Common Stock and Parent Convertible Preferred Stock, with the same economic effect as contemplated by this Agreement prior to such share or stock dividend, subdivision, reclassification, recapitalization, split, combination or exchange of shares or other like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will be construed to permit the Company or Parent to take any action with respect to Company Ordinary Shares or Company Preferred Shares or Parent Common Stock or Parent Convertible Preferred Stock, respectively, that is prohibited or not expressly permitted by the terms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Closing of the Company’s Register of Members</w:t>
      </w:r>
      <w:r>
        <w:rPr>
          <w:rFonts w:ascii="Times New Roman;Times;Serif" w:hAnsi="Times New Roman;Times;Serif"/>
          <w:b w:val="false"/>
          <w:i w:val="false"/>
          <w:caps w:val="false"/>
          <w:smallCaps w:val="false"/>
          <w:sz w:val="20"/>
        </w:rPr>
        <w:t>. At the Effective Time: (a) all holders of (i) certificates representing Company Shares and (ii) book-entry shares representing Company Shares (“</w:t>
      </w:r>
      <w:r>
        <w:rPr>
          <w:rFonts w:ascii="Times New Roman;Times;Serif" w:hAnsi="Times New Roman;Times;Serif"/>
          <w:b/>
          <w:i/>
          <w:caps w:val="false"/>
          <w:smallCaps w:val="false"/>
          <w:sz w:val="20"/>
        </w:rPr>
        <w:t>Book-Entry Shares</w:t>
      </w:r>
      <w:r>
        <w:rPr>
          <w:rFonts w:ascii="Times New Roman;Times;Serif" w:hAnsi="Times New Roman;Times;Serif"/>
          <w:b w:val="false"/>
          <w:i w:val="false"/>
          <w:caps w:val="false"/>
          <w:smallCaps w:val="false"/>
          <w:sz w:val="20"/>
        </w:rPr>
        <w:t>”), in each case, that were issued and outstanding immediately prior to the Effective Time shall cease to have any rights as shareholders of the Company; and (b) the register of members of the Company shall be closed with respect to all Company Shares outstanding immediately prior to the Effective Time. No further transfer of any such Company Shares shall be made on such register of members of the Company after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Exchange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Parent and the Company shall agree upon and select a reputable bank, transfer agent or trust company to act as exchange agent in the Merger (the “</w:t>
      </w:r>
      <w:r>
        <w:rPr>
          <w:rFonts w:ascii="Times New Roman;Times;Serif" w:hAnsi="Times New Roman;Times;Serif"/>
          <w:b/>
          <w:i/>
          <w:caps w:val="false"/>
          <w:smallCaps w:val="false"/>
          <w:sz w:val="20"/>
        </w:rPr>
        <w:t>Exchange Agent</w:t>
      </w:r>
      <w:r>
        <w:rPr>
          <w:rFonts w:ascii="Times New Roman;Times;Serif" w:hAnsi="Times New Roman;Times;Serif"/>
          <w:b w:val="false"/>
          <w:i w:val="false"/>
          <w:caps w:val="false"/>
          <w:smallCaps w:val="false"/>
          <w:sz w:val="20"/>
        </w:rPr>
        <w:t xml:space="preserve">”). At the Effective Time, Parent shall deposit with the Exchange Agent evidence of book-entry shares representing the Parent Voting Common Stock and Parent Convertible Preferred Stock issuable pursuant to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The Parent Voting Common Stock and Parent Convertible Preferred Stock so deposited with the Exchange Agent, together with any dividends or distributions received by the Exchange Agent with respect to such shares, are referred to collectively as the “</w:t>
      </w:r>
      <w:r>
        <w:rPr>
          <w:rFonts w:ascii="Times New Roman;Times;Serif" w:hAnsi="Times New Roman;Times;Serif"/>
          <w:b/>
          <w:i/>
          <w:caps w:val="false"/>
          <w:smallCaps w:val="false"/>
          <w:sz w:val="20"/>
        </w:rPr>
        <w:t>Exchange Fund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Effective Time, the Parties shall cause the Exchange Agent to mail to the Persons who were previously registered holders of Company Shares that were cancelled in exchange for the right to receive the Merger Consideration: (i) a letter of transmittal and an accredited investor questionnaire in customary form and containing such provisions as Parent may reasonably specify; and (ii) instructions for effecting the issuance or transfer of Parent Voting Common Stock. Upon receipt of a duly executed letter of transmittal, accredited investor questionnaire and such other documents as may be reasonably required by the Exchange Agent or Parent the former holder of such Book-Entry Share shall be entitled to receive in exchange therefor book-entry shares representing the Merger Consideration (in a number of whole shares of Parent Voting Common Stock and Parent Convertible Preferred Stock) that such holder has the right to receive pursuant to the provisions of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Each Book-Entry Share (other than Dissenting Shares) shall be deemed, from and after the Effective Time, to represent only the right to receive book-entry shares of Parent Voting Common Stock and Parent Convertible Preferred Stock representing the Merger Consideration. In the event of a transfer of ownership of a Book-Entry Share prior to the Effective Time that is not registered in the register of members of the Company, payment of the Merger Consideration in respect of such Book-Entry Share may be made to a Person other than the Person in whose name such Book-Entry Share so surrendered or transferred is registered if such Book-Entry Share shall be properly transferred and the Person requesting such payment shall pay any transfer or other Taxes required by reason of the transfer or establish to the reasonable satisfaction of Parent that such Taxes have been paid or are not applicable. The Merger Consideration and any dividends or other distributions as are payable pursuant to </w:t>
      </w:r>
      <w:r>
        <w:rPr>
          <w:rFonts w:ascii="Times New Roman;Times;Serif" w:hAnsi="Times New Roman;Times;Serif"/>
          <w:b w:val="false"/>
          <w:i w:val="false"/>
          <w:caps w:val="false"/>
          <w:smallCaps w:val="false"/>
          <w:sz w:val="20"/>
          <w:u w:val="single"/>
        </w:rPr>
        <w:t>Section 1.8(c)</w:t>
      </w:r>
      <w:r>
        <w:rPr>
          <w:rFonts w:ascii="Times New Roman;Times;Serif" w:hAnsi="Times New Roman;Times;Serif"/>
          <w:b w:val="false"/>
          <w:i w:val="false"/>
          <w:caps w:val="false"/>
          <w:smallCaps w:val="false"/>
          <w:sz w:val="20"/>
        </w:rPr>
        <w:t xml:space="preserve"> shall be deemed to have been in full satisfaction of all rights pertaining to Company Shares formerly represented by such Book-Entry Shares.</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dividends or other distributions declared or made with respect to Parent Voting Common Stock or Parent Convertible Preferred Stock with a record date on or after the Effective Time shall be paid to the holder of any Book-Entry Shares with respect to the shares of Parent Voting Common Stock and/or Parent Convertible Preferred Stock that such holder has the right to receive in the Merger until such holder transfers such Book-Entry Shares or provides an affidavit of loss or destruction in lieu thereof in accordance with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(at which time (or, if later, on the applicable payment date) such holder shall be entitled, subject to the effect of applicable abandoned property, escheat or similar Laws, to receive all such dividends and distributions, without interest).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portion of the Exchange Fund that remains unclaimed by holders of Company Shares as of the date that is one year after the Closing Date shall be delivered to Parent upon demand, and any holders of Book-Entry Shares who have not theretofore transferred their Book-Entry Shares in accordance with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shall thereafter look only to Parent (subject to abandoned property, escheat or other similar laws) for satisfaction of their claims for Parent Voting Common Stock and Parent Convertible Preferred Stock and any dividends or distributions with respect to shares of Parent Voting Common Stock and Parent Convertible Preferred Stock.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Party shall be liable to any holder of any Company Shares or to any other Person with respect to any shares of Parent Voting Common Stock or Parent Convertible Preferred Stock (or dividends or distributions with respect thereto) or for any cash amounts delivered to any public official pursuant to any applicable abandoned property Law, escheat Law or similar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u w:val="single"/>
        </w:rPr>
        <w:t>Appraisal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of this Agreement to the contrary, Company Shares that are issued and outstanding immediately prior to the Effective Time and which are held by shareholders of the Company who have exercised and perfected their appraisal rights for such Company Shares in accordance with Section 238 of the Companies Act and otherwise complied with all of the provisions of the Companies Act relevant to the exercise and perfection of appraisal rights (collectively, the “</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xml:space="preserve">”) shall not have any right to receive the Merger Consideration described in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attributable to such Dissenting Shares, but, instead, shall automatically cease to be issued and outstanding, shall be canceled and cease to exist and shall thereafter only be entitled to receive such consideration as may be determined to be due with respect to such Dissenting Shares pursuant to Section 238 of the Companies Act, unless and until such shareholders fail to perfect or effectively withdraw or otherwise lose their appraisal rights under the Companies Act or if a court of competent jurisdiction shall determine that such holder is not entitled to the relief provided by the Companies Act. All Dissenting Shares held by shareholders who shall have failed to perfect or shall have effectively withdrawn or lost their right to appraisal of such Company Shares under the Companies Act (whether occurring before, at or after the Effective Time) shall thereupon have the right to receive the Merger Consideration, without interest, attributable to such Dissenting Shares in the manner provided in </w:t>
      </w:r>
      <w:r>
        <w:rPr>
          <w:rFonts w:ascii="Times New Roman;Times;Serif" w:hAnsi="Times New Roman;Times;Serif"/>
          <w:b w:val="false"/>
          <w:i w:val="false"/>
          <w:caps w:val="false"/>
          <w:smallCaps w:val="false"/>
          <w:sz w:val="20"/>
          <w:u w:val="single"/>
        </w:rPr>
        <w:t>Sections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give Parent prompt written notice of any demands by dissenting shareholders received by the Company, withdrawals of such demands and any other instruments served on the Company and any material correspondence received by the Company in connection with such demands, and the Company shall have the right to direct all negotiations and proceedings with respect to such demands;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Parent shall have the right to participate in such negotiations and proceedings. Neither the Parent nor the Company shall, except with the other Party’s prior written consent, voluntarily make any payment with respect to, or settle or offer to settle, any such demands, or approve any withdrawal of any such demands or agree to do any of the foregoing.</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 </w:t>
      </w:r>
      <w:r>
        <w:rPr>
          <w:rFonts w:ascii="Times New Roman;Times;Serif" w:hAnsi="Times New Roman;Times;Serif"/>
          <w:b/>
          <w:i w:val="false"/>
          <w:caps w:val="false"/>
          <w:smallCaps w:val="false"/>
          <w:sz w:val="20"/>
          <w:u w:val="single"/>
        </w:rPr>
        <w:t>Equity Awards; Company SAFEs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the Effective Time, each Company Option that is outstanding and unexercised immediately prior to the Effective Time under the Company Plan, whether or not vested, shall be converted into and become an option to purchase Parent Voting Common Stock and Parent Convertible Preferred Stock, as applicable, and Parent shall assume the Company Plan and each such Company Option in accordance with the terms (as in effect as of the date of this Agreement) of the Company Plan and the terms of the stock option agreement by which such Company Option is evidenced (but with changes to such documents as Parent in good faith determines are necessary to reflect the substitution of the Company Options by Parent to purchase shares of Parent Voting Common Stock and Parent Convertible Preferred Stock, as applicable). All rights with respect to Company Ordinary Shares under Company Options assumed by Parent shall thereupon be converted into rights with respect to Parent Voting Common Stock and Parent Convertible Preferred Stock, as applicable. Accordingly, from and after the Effective Time: (A) each Company Option assumed by Parent may be exercised solely for shares of Parent Voting Common Stock and Parent Convertible Preferred Stock, as applicable, and subject to the Parent Common Stock Consideration Cap; (B) the number of shares of Parent Voting Common Stock and Parent Convertible Preferred Stock subject to each Company Option assumed by Parent shall be determined by multiplying (I) the number of Company Ordinary Shares that were subject to such Company Option, as in effect immediately prior to the Effective Time, by (II) the Exchange Ratio, and rounding the resulting number down to the nearest whole number of shares of Parent Voting Common Stock and Parent Convertible Preferred Stock, as applicable; provided that in the event of the approval of the Preferred Stock Conversion Proposal, each Company Option shall thereafter be exercisable solely for shares of Parent Voting Common Stock, and the number of shares of Parent Voting Common Stock subject to each Company Option in lieu of shares of Parent Convertible Preferred Stock shall be determined in a manner consistent with the conversion of shares of Parent Voting Common Stock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(C) the per share exercise price for the Parent Voting Common Stock issuable upon exercise of each Company Option assumed by Parent shall be determined by dividing (I) the per share exercise price of Company Ordinary Shares subject to such Company Option, as in effect immediately prior to the Effective Time, by (II) the Exchange Ratio and rounding the resulting exercise price up to the nearest whole cent; (D) the per share exercise price for the Parent Convertible Preferred Stock issuable upon exercise of each Company Option assumed by Parent shall be determined by dividing (I) the per share exercise price of Company Ordinary Shares subject to such Company Option, as in effect immediately prior to the Effective Time, by (II) the Exchange Ratio, rounding up to the nearest whole cent, and multiplying the quotient by the Conversion Ratio (as defined in the Certificate of Designation); and (E) any restriction on the exercise of any Company Option assumed by Parent shall continue in full force and effect and the term, exercisability, vesting schedule and other provisions of such Company Option shall otherwise remain unchanged;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(y) in the case of any Company Option to which Section 421 of the Code applies as of the Effective Time by reason of its qualification under Section 422 of the Code, the exercise price, the number of shares of Parent Voting Common Stock and Parent Convertible Preferred Stock, as applicable, subject to such option and the terms and conditions of exercise of such option shall be determined in a manner consistent with the requirements of Section 424(a) of the Code; and (z) the exercise price, the number of shares of Parent Voting Common Stock and Parent Convertible Preferred Stock, as applicable, subject to, and the terms and conditions of exercise of each option to purchase Parent Voting Common Stock shall also be determined in a manner consistent with the requirements of Section 409A of the Code (including, for the avoidance of doubt, that any Parent Convertible Preferred Stock subject to a Company Option shall be “service recipient stock” within the meaning of Section 409A of the Code as a result of such Parent Convertible Preferred Stock constituting common stock for purposes of Section 305 of the Code, not having any preference as to distributions, and not being subject to any mandatory repurchase obligation (other than a right of first refusal) or any put or call right);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(x) Parent may amend the terms of the Company Options and the Company Plan as may be necessary to reflect Parent’s substitution of the Company Options with options to purchase Parent Voting Common Stock and Parent Convertible Preferred Stock, as applicable (such as by making any change in control or similar definition relate to Parent and having any provision that provides for the adjustment of Company Options upon the occurrence of certain corporate events relate to corporate events that relate to Parent, Parent Voting Common Stock and/or Parent Convertible Preferred Stock, as applicable); and (y) the Parent Board or a committee thereof shall succeed to the authority and responsibility of the Company Board or any committee thereof with respect to each Company Option assumed by Parent.</w:t>
      </w:r>
    </w:p>
    <w:p>
      <w:pPr>
        <w:pStyle w:val="TextBody"/>
        <w:bidi w:val="0"/>
        <w:spacing w:before="0" w:after="0"/>
        <w:ind w:left="144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Parent shall file with the SEC, promptly after the Effective Time, a registration statement on Form S-8 (or any successor form), if available for use by Parent, relating to the shares of Parent Voting Common Stock (including any Parent Voting Common Stock issuable upon conversion of any Parent Convertible Preferred Stock) issuable with respect to Company Options assumed by Parent in accordance with this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Parent Equity Awards</w:t>
      </w:r>
      <w:r>
        <w:rPr>
          <w:rFonts w:ascii="Times New Roman;Times;Serif" w:hAnsi="Times New Roman;Times;Serif"/>
          <w:b w:val="false"/>
          <w:i w:val="false"/>
          <w:caps w:val="false"/>
          <w:smallCaps w:val="false"/>
          <w:sz w:val="20"/>
        </w:rPr>
        <w:t>. No acceleration of vesting of Parent Options, Parent RSUs, or Parent Warrants shall occur in connection with the Contemplated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 SAFEs</w:t>
      </w:r>
      <w:r>
        <w:rPr>
          <w:rFonts w:ascii="Times New Roman;Times;Serif" w:hAnsi="Times New Roman;Times;Serif"/>
          <w:b w:val="false"/>
          <w:i w:val="false"/>
          <w:caps w:val="false"/>
          <w:smallCaps w:val="false"/>
          <w:sz w:val="20"/>
        </w:rPr>
        <w:t xml:space="preserve">. At the Effective Time, by virtue of the Merger and without any further action on the part of Parent, Merger Sub, the Company, any holder of a Company SAFE, any shareholder of the Company or any stockholder of Parent, each Company SAFE shall be terminated and cancelled pursuant to its terms and, in consideration therefor, each holder of a Company SAFE shall be entitled to receive Parent Preferred Stock Payment Shares in accordance with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as set forth on the Allocation Certificate.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i w:val="false"/>
          <w:caps w:val="false"/>
          <w:smallCaps w:val="false"/>
          <w:sz w:val="20"/>
          <w:u w:val="single"/>
        </w:rPr>
        <w:t>Calculation of Parent Net Cash</w:t>
      </w:r>
      <w:r>
        <w:rPr>
          <w:rFonts w:ascii="Times New Roman;Times;Serif" w:hAnsi="Times New Roman;Times;Serif"/>
          <w:b w:val="false"/>
          <w:i w:val="false"/>
          <w:caps w:val="false"/>
          <w:smallCaps w:val="false"/>
          <w:sz w:val="20"/>
        </w:rPr>
        <w:t>. Prior to the execution of this Agreement, Parent delivered to the Company a schedule setting forth, in reasonable detail, Parent’s good faith calculation of Parent Net Cash (the “</w:t>
      </w:r>
      <w:r>
        <w:rPr>
          <w:rFonts w:ascii="Times New Roman;Times;Serif" w:hAnsi="Times New Roman;Times;Serif"/>
          <w:b/>
          <w:i/>
          <w:caps w:val="false"/>
          <w:smallCaps w:val="false"/>
          <w:sz w:val="20"/>
        </w:rPr>
        <w:t>Parent Net Cash Calculation</w:t>
      </w:r>
      <w:r>
        <w:rPr>
          <w:rFonts w:ascii="Times New Roman;Times;Serif" w:hAnsi="Times New Roman;Times;Serif"/>
          <w:b w:val="false"/>
          <w:i w:val="false"/>
          <w:caps w:val="false"/>
          <w:smallCaps w:val="false"/>
          <w:sz w:val="20"/>
        </w:rPr>
        <w:t xml:space="preserve">”), which is set forth on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of the Parent Disclosure Schedule (the “</w:t>
      </w:r>
      <w:r>
        <w:rPr>
          <w:rFonts w:ascii="Times New Roman;Times;Serif" w:hAnsi="Times New Roman;Times;Serif"/>
          <w:b/>
          <w:i/>
          <w:caps w:val="false"/>
          <w:smallCaps w:val="false"/>
          <w:sz w:val="20"/>
        </w:rPr>
        <w:t>Parent Net Cash Schedule</w:t>
      </w:r>
      <w:r>
        <w:rPr>
          <w:rFonts w:ascii="Times New Roman;Times;Serif" w:hAnsi="Times New Roman;Times;Serif"/>
          <w:b w:val="false"/>
          <w:i w:val="false"/>
          <w:caps w:val="false"/>
          <w:smallCaps w:val="false"/>
          <w:sz w:val="20"/>
        </w:rPr>
        <w:t>”). Parent has made available to the Company (electronically to the greatest extent possible), as reasonably requested by the Company, the work papers and backup materials used or useful in preparing the Parent Net Cash Schedule and, if reasonably requested by the Company, Parent’s accountants and counsel at reasonable times and upon reasonable notice. The Parent Net Cash Calculation includes the defined terms herein necessary to calculate the Company Merger Shares, and the Parties agree that the Parent Net Cash Calculation as set forth on the Parent Net Cash Schedule is the final and binding amount of the Parent Net Cash for purposes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i w:val="false"/>
          <w:caps w:val="false"/>
          <w:smallCaps w:val="false"/>
          <w:sz w:val="20"/>
          <w:u w:val="single"/>
        </w:rPr>
        <w:t>Contingent Value Right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of Parent Common Stock of record as of immediately prior to the Effective Time shall be entitled to one contractual contingent value right (a “</w:t>
      </w:r>
      <w:r>
        <w:rPr>
          <w:rFonts w:ascii="Times New Roman;Times;Serif" w:hAnsi="Times New Roman;Times;Serif"/>
          <w:b/>
          <w:i/>
          <w:caps w:val="false"/>
          <w:smallCaps w:val="false"/>
          <w:sz w:val="20"/>
        </w:rPr>
        <w:t>CVR</w:t>
      </w:r>
      <w:r>
        <w:rPr>
          <w:rFonts w:ascii="Times New Roman;Times;Serif" w:hAnsi="Times New Roman;Times;Serif"/>
          <w:b w:val="false"/>
          <w:i w:val="false"/>
          <w:caps w:val="false"/>
          <w:smallCaps w:val="false"/>
          <w:sz w:val="20"/>
        </w:rPr>
        <w:t xml:space="preserve">”) issued by Parent subject to and in accordance with the terms and conditions of the CVR Agreement, attached hereto as </w:t>
      </w:r>
      <w:r>
        <w:rPr>
          <w:rFonts w:ascii="Times New Roman;Times;Serif" w:hAnsi="Times New Roman;Times;Serif"/>
          <w:b/>
          <w:i w:val="false"/>
          <w:caps w:val="false"/>
          <w:smallCaps w:val="false"/>
          <w:sz w:val="20"/>
        </w:rPr>
        <w:t xml:space="preserve">Exhibit F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CVR Agreement</w:t>
      </w:r>
      <w:r>
        <w:rPr>
          <w:rFonts w:ascii="Times New Roman;Times;Serif" w:hAnsi="Times New Roman;Times;Serif"/>
          <w:b w:val="false"/>
          <w:i w:val="false"/>
          <w:caps w:val="false"/>
          <w:smallCaps w:val="false"/>
          <w:sz w:val="20"/>
        </w:rPr>
        <w:t>”), for each share of Parent Common Stock held by such holders (less applicable withholding Taxes).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thirty (30) days of the Effective Time, Parent shall authorize and duly adopt, execute and deliver, and will ensure that Rights Agent (as defined in the CVR Agreement), reasonably acceptably by the Company, executes and delivers, the CVR Agreement, subject to any reasonable revisions to the CVR Agreement that are requested by such Rights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revisions are not, individually or in the aggregate, detrimental or adverse, taken as a whole, to any holder of CVR). Parent and the Company shall cooperate, including by making changes to the form of CVR Agreement, as necessary to ensure that the CVRs are not subject to registration under the Securities Act, the Exchange Act or any applicable state securities or “blue sky”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reasonable best efforts (in the name of the Company, in the name of Merger Sub, in the name of the Surviving Corporation and otherwise) to take such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i w:val="false"/>
          <w:caps w:val="false"/>
          <w:smallCaps w:val="false"/>
          <w:sz w:val="20"/>
          <w:u w:val="single"/>
        </w:rPr>
        <w:t>Withholding</w:t>
      </w:r>
      <w:r>
        <w:rPr>
          <w:rFonts w:ascii="Times New Roman;Times;Serif" w:hAnsi="Times New Roman;Times;Serif"/>
          <w:b w:val="false"/>
          <w:i w:val="false"/>
          <w:caps w:val="false"/>
          <w:smallCaps w:val="false"/>
          <w:sz w:val="20"/>
        </w:rPr>
        <w:t>. The Parties and the Exchange Agent (each, a “</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xml:space="preserve">”) shall be entitled to deduct and withhold from the consideration otherwise payable pursuant to this Agreement (including the CVR Agreement) to any holder of Company Shares or any other Person such amounts as such Party or the Exchange Agent is required to deduct and withhold under the Code or any other Law with respect to the making of such 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Withholding Agent determines that any payment to any stockholder of the Company hereunder is subject to deduction and/or withholding, then, except with respect to compensatory payments made to employees of the Company or deductions or withholdings as a result of a failure of the Company to deliver the certificates described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such Withholding Agent shall use commercially reasonable efforts to (i) provide notice to such stockholder as soon as reasonably practicable after such determination and (ii) reasonably cooperate with such stockholder to reduce or eliminate any such deduction and/or withholding. To the extent that amounts are so withheld and paid over to the appropriate Governmental Body, such withheld amounts shall be treated for all purposes of this Agreement as having been paid to the Person in respect of whom such deduction and withholding was made.</w:t>
      </w:r>
    </w:p>
    <w:p>
      <w:pPr>
        <w:pStyle w:val="TextBody"/>
        <w:bidi w:val="0"/>
        <w:spacing w:before="0" w:after="0"/>
        <w:ind w:left="720" w:right="0" w:hanging="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8.12(h)</w:t>
      </w:r>
      <w:r>
        <w:rPr>
          <w:rFonts w:ascii="Times New Roman;Times;Serif" w:hAnsi="Times New Roman;Times;Serif"/>
          <w:b w:val="false"/>
          <w:i w:val="false"/>
          <w:caps w:val="false"/>
          <w:smallCaps w:val="false"/>
          <w:sz w:val="20"/>
        </w:rPr>
        <w:t>, except as set forth in the disclosure schedule delivered by the Company to Parent (the “</w:t>
      </w:r>
      <w:r>
        <w:rPr>
          <w:rFonts w:ascii="Times New Roman;Times;Serif" w:hAnsi="Times New Roman;Times;Serif"/>
          <w:b/>
          <w:i/>
          <w:caps w:val="false"/>
          <w:smallCaps w:val="false"/>
          <w:sz w:val="20"/>
        </w:rPr>
        <w:t>Company Disclosure Schedule</w:t>
      </w:r>
      <w:r>
        <w:rPr>
          <w:rFonts w:ascii="Times New Roman;Times;Serif" w:hAnsi="Times New Roman;Times;Serif"/>
          <w:b w:val="false"/>
          <w:i w:val="false"/>
          <w:caps w:val="false"/>
          <w:smallCaps w:val="false"/>
          <w:sz w:val="20"/>
        </w:rPr>
        <w:t>”), the Company represents and warrants to Parent and Merger Sub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 exempted company duly incorporated with limited liability, validly existing and in good standing under the Laws of the Cayman Islands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the Company Disclosure Schedule, the Company has no Subsidiaries and does not own any share capital or capital stock of, or any equity, ownership or profit sharing interest of any nature in, or control directly or indirectly, any other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not and has not been, directly or indirectly, a party to, member of or participant in any partnership, joint venture or similar business Entity. The Company has not agreed and is not obligated to make, and is not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Organizational Documents</w:t>
      </w:r>
      <w:r>
        <w:rPr>
          <w:rFonts w:ascii="Times New Roman;Times;Serif" w:hAnsi="Times New Roman;Times;Serif"/>
          <w:b w:val="false"/>
          <w:i w:val="false"/>
          <w:caps w:val="false"/>
          <w:smallCaps w:val="false"/>
          <w:sz w:val="20"/>
        </w:rPr>
        <w:t>. The Company has made available to Parent accurate and complete copies of the applicable Organizational Documents of the Company and each of its Subsidiaries in effect as of the date of this Agreement. Neither the Company nor any of its Subsidiaries is in breach or violation of its respective Organizational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necessary corporate power and authority to enter into and to perform its obligations under this Agreement and to consummate the Contemplated Transactions. The Company Board (at meetings duly called and held or by unanimous written consent) has (i) determined that the Contemplated Transactions are in the best interests of the Company, (ii) authorized, approved and declared advisable (as applicable) the execution, delivery and performance of this Agreement, the Plan of Merger and the Contemplated Transactions and (iii) determined to recommend, upon the terms and subject to the conditions set forth in this Agreement, that the shareholders of the Company vote in favor of the Company Shareholder Matters.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Vote Required</w:t>
      </w:r>
      <w:r>
        <w:rPr>
          <w:rFonts w:ascii="Times New Roman;Times;Serif" w:hAnsi="Times New Roman;Times;Serif"/>
          <w:b w:val="false"/>
          <w:i w:val="false"/>
          <w:caps w:val="false"/>
          <w:smallCaps w:val="false"/>
          <w:sz w:val="20"/>
        </w:rPr>
        <w:t>. The approval, adoption and authorization of the Agreement, the Plan of Merger, and the Contemplated Transactions requires (i) a special resolution of the Company under the Companies Act, being either (A) a resolution passed by the affirmative vote of the Company shareholders holding Company Shares representing at least two-thirds of the votes cast by the holders of Company Shares present and voting in person or by proxy at a general meeting of which notice specifying the intention to propose the resolution as a special resolution has been duly given, or (B) a unanimous written resolution of the holders of the Company Shares (the “</w:t>
      </w:r>
      <w:r>
        <w:rPr>
          <w:rFonts w:ascii="Times New Roman;Times;Serif" w:hAnsi="Times New Roman;Times;Serif"/>
          <w:b/>
          <w:i/>
          <w:caps w:val="false"/>
          <w:smallCaps w:val="false"/>
          <w:sz w:val="20"/>
        </w:rPr>
        <w:t>Required Company Shareholder Vote</w:t>
      </w:r>
      <w:r>
        <w:rPr>
          <w:rFonts w:ascii="Times New Roman;Times;Serif" w:hAnsi="Times New Roman;Times;Serif"/>
          <w:b w:val="false"/>
          <w:i w:val="false"/>
          <w:caps w:val="false"/>
          <w:smallCaps w:val="false"/>
          <w:sz w:val="20"/>
        </w:rPr>
        <w:t>”) in accordance with Section 233(6) of the Companies Act and the Company’s Organizational Documents, and (ii) the consent of the holders of a majority of the Company Preferred Shares in accordance with the Company’s Organizational Documents, voting together as a separate class (“</w:t>
      </w:r>
      <w:r>
        <w:rPr>
          <w:rFonts w:ascii="Times New Roman;Times;Serif" w:hAnsi="Times New Roman;Times;Serif"/>
          <w:b/>
          <w:i/>
          <w:caps w:val="false"/>
          <w:smallCaps w:val="false"/>
          <w:sz w:val="20"/>
        </w:rPr>
        <w:t>Preferred Consent</w:t>
      </w:r>
      <w:r>
        <w:rPr>
          <w:rFonts w:ascii="Times New Roman;Times;Serif" w:hAnsi="Times New Roman;Times;Serif"/>
          <w:b w:val="false"/>
          <w:i w:val="false"/>
          <w:caps w:val="false"/>
          <w:smallCaps w:val="false"/>
          <w:sz w:val="20"/>
        </w:rPr>
        <w:t>”). The Required Company Shareholder Vote and the Preferred Consent are the only votes (or written consents, as the case may be) of the holders of any class or series of Company Shares necessary to adopt, authorize, approve and consummate this Agreement, the Plan of Merger and approve and consummate the Contemplated Transactions.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Non-Contravention; Consents</w:t>
      </w:r>
      <w:r>
        <w:rPr>
          <w:rFonts w:ascii="Times New Roman;Times;Serif" w:hAnsi="Times New Roman;Times;Serif"/>
          <w:b w:val="false"/>
          <w:i w:val="false"/>
          <w:caps w:val="false"/>
          <w:smallCaps w:val="false"/>
          <w:sz w:val="20"/>
        </w:rPr>
        <w:t>. Subject to obtaining the Required Company Shareholder Vote and Preferred Consent, the filing of the Certificate of Merger required by the DGCL, the filing of the Cayman Merger Documents with the Cayman Registrar required under the Companies Act, and the filing of the Certificate of Designation, neither (i) the execution, delivery or performance of this Agreement by the Company or the Plan of Merger, nor (ii) the consummation of the Contemplated Transactions, will directly or indirectly (with or without notice or lapse of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contravene, conflict with or result in a violation of any of the provisions of the Company’s Organizational Documents;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contravene, conflict with or result in a violation of, or give any Governmental Body or other Person the right to challenge the Contemplated Transactions or to exercise any remedy or obtain any relief under, any Law or any order, writ, injunction, judgment or decree to which the Company, or any of the assets owned or used by the Company, is subject, except as would not reasonably be expected to be material to the Company or its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be material to the Company or its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contravene, conflict with or result in a violation or breach of, or result in a default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result in the imposition or creation of any Encumbrance upon or with respect to any asset owned or used by the Company (except for Permitted Encumbrances).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(i) any Consent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of the Company Disclosure Schedule under any Company Contract, (ii) the Required Company Shareholder Vote, (iii) the Preferred Consent, (iv) the filing of the Certificate of Merger with the Secretary of State of the State of Delaware pursuant to the DGCL, (v) the filing of the Cayman Merger Documents pursuant to the Companies Act, (vi) the filing of the Certificate of Designation with the Secretary of State of the State of Delaware pursuant to the DGCL and (vii) such consents, waivers, approvals, orders, authorizations, registrations, declarations and filings as may be required under applicable federal and state securities Laws, the Company is not or will not be required to make any filing with or give any notice to, or to obtain any Consent from, any Person in connection with (A) the execution, delivery or performance of this Agreement or the Plan of Merger, or (B) the consummation of the Contemplated Transactions. The Company Board has taken and will take all actions necessary to ensure that the restrictions applicable to business combinations contained in the Companies Act are, and will be, inapplicable to the execution, delivery and performance of this Agreement, the Lock-Up Agreements and to the consummation of the Contemplated Transactions. No other state takeover statute or similar Law applies or purports to apply to the Merger, this Agreement, the Lock-Up Agreements or any of the Contemplated Transactions.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share capital of the Company as of the date of this Agreement consists of 50,000,000 Company Ordinary Shares, par value $0.01 per share, of which 27,671,083.57 shares have been issued and are outstanding as of the date of this Agreement, and 12,000,000 Company Preferred Shares, par value $0.01 per share, of which 3,661,504 shares have been issued and are outstanding as of the date of this Agreement. The Company does not hold any shares in its treasury.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Company Disclosure Schedule lists, as of the date of this Agreement, each record holder of issued and outstanding Company Shares and the number and type of Company Shares held by such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issued and outstanding Company Ordinary Shares and Company Preferred Shares have been duly authorized and validly issued, and are fully paid and nonassessable. Except as set forth in the Investor Agreements, none of the issued and outstanding Company Shares are entitled or subject to any preemptive right, right of participation, right of maintenance or any similar right and none of the issued and outstanding Company Shares are subject to any right of first refusal in favor of the Company. Except as contemplated herein and in the Lock-Up Agreements or as set forth in the Investor Agreements, there is no Company Contract relating to the voting or registration of, or restricting any Person from purchasing, selling, pledging or otherwise disposing of (or granting any option or similar right with respect to), any Company Shares. The Company is not under any obligation, nor is it bound by any Contract pursuant to which it may become obligated, to repurchase, redeem or otherwise acquire any outstanding Company Shares or other securities.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Company Disclosure Schedule accurately and completely lists all repurchase rights held by the Company with respect to Company Shares (including shares issued pursuant to the exercise of stock options) and specifies which of those repurchase rights are currently exercisable and whether the holder of such Company Shares timely filed an election with the relevant Governmental Bodies under Section 83(b) of the Code with respect to such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Company’s 2017 Equity Incentive Plan for Employees and Consultants (as amended, the “</w:t>
      </w:r>
      <w:r>
        <w:rPr>
          <w:rFonts w:ascii="Times New Roman;Times;Serif" w:hAnsi="Times New Roman;Times;Serif"/>
          <w:b/>
          <w:i/>
          <w:caps w:val="false"/>
          <w:smallCaps w:val="false"/>
          <w:sz w:val="20"/>
        </w:rPr>
        <w:t>Company Plan</w:t>
      </w:r>
      <w:r>
        <w:rPr>
          <w:rFonts w:ascii="Times New Roman;Times;Serif" w:hAnsi="Times New Roman;Times;Serif"/>
          <w:b w:val="false"/>
          <w:i w:val="false"/>
          <w:caps w:val="false"/>
          <w:smallCaps w:val="false"/>
          <w:sz w:val="20"/>
        </w:rPr>
        <w:t xml:space="preserve">”), the Company does not have any share option plan or any other plan, program, agreement or arrangement providing for any equity-based compensation for any Person. As of the date of this Agreement, the Company has reserved 3,458,090 Company Ordinary Shares for issuance under the Company Plan, of which 0 shares have been issued and are currently outstanding, 2,369,091.63 shares have been reserved for issuance upon exercise of Company Options previously granted and currently outstanding under the Company Plan, and 1,088,998.37 Company Ordinary Shares remain available for future issuance of awards pursuant to the Company Plan.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of the Company Disclosure Schedule sets forth the following information with respect to each Company Option outstanding as of the date of this Agreement: (i) the name of the award recipient; (ii) the number of Company Ordinary Shares subject to such Company Option at the time of grant; (iii) the number of Company Ordinary Shares subject to such Company Option as of the date of this Agreement; (iv) the exercise price of such Company Option; (v) the date on which such Company Option was granted; (vi) the applicable vesting schedule, including the number of vested and unvested shares as of the date of this Agreement and any acceleration provisions; (vii) the date on which such Company Option expires; and (viii) whether such Company Option is intended to constitute an “incentive stock option” (as defined in the Code) or a non-qualified stock option. The Company has made available to Parent an accurate and complete copy of the Company Plan and a form of share option agreement and share grant agreement that is consistent in all material respects with the share option agreements and share grant agreements evidencing outstanding Company Options granted thereunder. Each Company Option has been granted with an exercise price equal to or greater than fair market value of the underlying Company Ordinary Share as of the date of grant and no Company Option has had its exercise date or grant date “back-dated” or delayed.</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not any bonds, debentures, notes or other indebtedness of the Company that is outstanding or may become convertible into or exchangeable for any shares of or other securities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for Company Options set forth in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of the Company Disclosure Schedule, there is no: (i) outstanding subscription, option, call, warrant or right (whether or not currently exercisable) to acquire any shares or other securities of the Company; (ii) outstanding security, instrument or obligation that is or may become convertible into or exchangeable for any shares or other securities of the Company; or (iii) condition or circumstance that could be reasonably likely to give rise to or provide a basis for the assertion of a claim by any Person to the effect that such Person is entitled to acquire or receive any shares or other securities of the Company. There are no outstanding or authorized share appreciation, phantom share, profit participation or other similar rights with respect to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outstanding Company Ordinary Shares, Company Preferred Shares, Company Options, Company SAFEs and other securities of the Company have been issued and granted in material compliance with (i) the Organizational Documents of the Company in effect as of the relevant time and all applicable securities Laws and other applicable Law, and (ii) all requirements set forth in applicable Contracts, including the Company Plan. Each Company Option (A) has an exercise price per Company Ordinary Share equal to or greater than the fair market value of a Company Ordinary Share on the date of such grant, (B) has a grant date that is not prior to the date on which the Company Board or a duly authorized committee thereof actually awarded such Company Option and (C) qualifies for the Tax and accounting treatment afforded to such Company Option in the Company’s Tax Returns and the Company Financials, respectively.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distributions, dividends, repurchases and redemptions of the Company Shares or other equity interests of the Company were undertaken in material compliance with (i) the Organizational Documents of the Company in effect as of the relevant time and all applicable securities Laws and other applicable Laws, and (ii) all requirements set forth in applicable Contract.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Concurrently with the execution hereof, the Company has provided to Parent true and complete copies of (i) the Company Unaudited Annual Balance Sheet, together with the unaudited statements of operations and cash flows of the Company for the period reflected in the Company Unaudited Annual Balance Sheet and (ii) the Company Unaudited Interim Balance Sheet, together with the unaudited statements of operations and cash flows of the Company for the period reflected in the Company Unaudited Interim Balance Sheet (collectively, the “</w:t>
      </w:r>
      <w:r>
        <w:rPr>
          <w:rFonts w:ascii="Times New Roman;Times;Serif" w:hAnsi="Times New Roman;Times;Serif"/>
          <w:b/>
          <w:i/>
          <w:caps w:val="false"/>
          <w:smallCaps w:val="false"/>
          <w:sz w:val="20"/>
        </w:rPr>
        <w:t>Company Financials</w:t>
      </w:r>
      <w:r>
        <w:rPr>
          <w:rFonts w:ascii="Times New Roman;Times;Serif" w:hAnsi="Times New Roman;Times;Serif"/>
          <w:b w:val="false"/>
          <w:i w:val="false"/>
          <w:caps w:val="false"/>
          <w:smallCaps w:val="false"/>
          <w:sz w:val="20"/>
        </w:rPr>
        <w:t>”).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maintains accurate books and records reflecting its assets and liabilities and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accordance with GAAP and to maintain accountability of the 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(v) accounts, notes and other receivables and inventory are recorded accurately, and proper and adequate procedures are implemented which are designed to effect the collection thereof on a current and timely basis. The Company maintains internal controls consistent with the practices of similarly situated private companies over financial reporting that provide reasonable assurance regarding the reliability of financial reporting and the preparation of financial statements for external purposes in accordance with GAAP.</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xml:space="preserve"> of the Company Disclosure Schedule lists, and the Company has delivered to Parent accurate and complete copies of the documentation creating or governing, all securitization transactions and “off-balance sheet arrangements” (as defined in Item 303(c) of Regulation S-K under the Exchange Act) effected by the Company since the Company’s inception.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Company’s inception,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the Company’s inception,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of the Company Disclosure Schedule, after the date of the Company Unaudited Interim Balance Sheet, the Company and its Subsidiaries have conducted their business only in the Ordinary Course of Business (except for the execution and performance of this Agreement and the discussions, negotiations and transactions related thereto) and (x) there has not been any Company Material Adverse Effect and (y) the Company has not done any of the following: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declared, accrued, set aside or paid any dividend or made any other distribution in respect of any shares; or repurchased, redeemed or otherwise reacquired any shares or other securities (except for Company Ordinary Shares from terminated employees, directors or consultants of the Company or in connection with the payment of the exercise price and/or withholding Taxes incurred upon the exercise, settlement or vesting of any award granted under the Company Plan);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sold, issued, granted, pledged or otherwise disposed of or encumbered or authorized any of the foregoing with respect to: (i) any shares or other security of the Company; (ii) any option, warrant or right to acquire any capital stock or any other security, other than option grants to employees and service providers in the Ordinary Course of Business; or (iii) any instrument convertible into or exchangeable for any capital stock or other security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required to give effect to anything in contemplation of the Closing, amended any of its Organizational Documents, or effected or been a party to any merger, consolidation, share exchange, business combination, recapitalization, reclassification of shares, share split, reverse share split or similar transaction except, for the avoidance of doubt, the Contemplated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formed any Subsidiary or acquired any equity interest or other interest in any other Entity or entered into a joint venture with any other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lent money to any Person (except for the advance of reasonable business expenses to employees, directors and consultants in the Ordinary Course of Business), (ii) incurred or guaranteed any indebtedness for borrowed money, or (iii) guaranteed any debt securities of others;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than as required by applicable Law or the terms of any Company Benefit Plan as in effect on the date of this Agreement: (i) adopted, terminated, established or entered into any Company Benefit Plan; (ii) caused any Company Benefit Plan to be amended in any material respect; (iii) paid any bonus or distributed any profit-sharing account balances or similar payment to, or increased the amount of the wages, salary, commissions, benefits or other compensation or remuneration payable to, any of its directors, officers or employees (other than annual bonuses and wage or salary increases in the Ordinary Course of Business that do not exceed ten percent (10%) of any such employee’s base compensation); (iv) granted or increased any severance, change-of-control, transaction or retention bonus, deferred compensation or similar payments or benefits with respect to any current, former or new employees, directors or consultants or (v) hired, terminated or gave notice of termination (other than for cause) to any (A) officer or (B) employee or other service provider whose annual base compensation is or is expected to be more than $100,000 per year;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entered into any collective bargaining agreement or similar agreement with any labor union or similar labor organization;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entered into any material transaction other than (i) in the Ordinary Course of Business or (ii) in connection with the Contemplated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acquired any material asset or sold, leased or otherwise irrevocably disposed of any of its assets or properties, or granted any Encumbrance (other than a Permitted Encumbrance) with respect to such assets or properties, except in the Ordinary Course of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sold, assigned, transferred, licensed, sublicensed or otherwise disposed of any material Company IP (other than pursuant to non-exclusive licenses in the Ordinary Course of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made, changed or revoked any material Tax election, failed to pay any income or other Tax as such Tax became due and payable, filed any amendment making any change to any Tax Return, settled or compromised any income or other Tax liability, dispute, audit, investigation, proceeding, claim, or assessment,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Taxes (other than pursuant to an extension of time to file any Tax Return granted in the Ordinary Course of Business of not more than six months), surrendered any right to claim a Tax refund, or adopted or changed any accounting method in respect of Taxes;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made any expenditures, incurred any Liabilities (other than Tax liabilities incurred in the Ordinary Course of Business) or discharged or satisfied any Liabilities, in each case, in amounts that exceed $50,000 individually or $100,000 in the aggregate;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 than as required by Law or GAAP, taken any action to change accounting policies or procedures;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initiated or settled any Legal Proceeding;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agreed, resolved or committed to do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As of the date hereof, the Company has no liability, indebtedness, obligation or expense of any kind, whether accrued, absolute, contingent, matured or unmatured (whether or not required to be reflected in the financial statements in accordance with GAAP) (each a “</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xml:space="preserve">”), individually or in the aggregate, of a type required to be recorded or reflected on a balance sheet or disclosed in the footnotes thereto under GAAP, except for: (a) Liabilities disclosed, reflected or reserved against in the Company Unaudited Interim Balance Sheet; (b) Liabilities that have been incurred by the Company since the date of the Company Unaudited Interim Balance Sheet in the Ordinary Course of Business; (c) Liabilities for performance of obligations of the Company under Company Contracts; (d) Liabilities incurred in connection with the Contemplated Transactions; (e) Liabilities which would not, individually or in the aggregate, reasonably be expected to be material to the Company; and (f) Liabilities described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of the Company Disclosure Schedule. The Company has not obtained a loan under Paycheck Protection Program under the CARES Act.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its Subsidiaries own, and have good and valid title to, or, in the case of leased properties and assets, valid leasehold interests in, all tangible properties or tangible assets and equipment used or held for use in their business or operations or purported to be owned by it that are material to the Company or its Subsidiaries or their business, including: (a) all tangible assets reflected on the Company Unaudited Interim Balance Sheet; and (b) all other tangible assets reflected in the books and records of the Company and its Subsidiaries as being owned by the Company or any of its Subsidiaries. All of such assets are owned or, in the case of leased assets, leased by the Company and its Subsidiaries free and clear of any Encumbrances, other than Permitted Encumbrances.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i w:val="false"/>
          <w:caps w:val="false"/>
          <w:smallCaps w:val="false"/>
          <w:sz w:val="20"/>
          <w:u w:val="single"/>
        </w:rPr>
        <w:t>Real Property; Leasehold</w:t>
      </w:r>
      <w:r>
        <w:rPr>
          <w:rFonts w:ascii="Times New Roman;Times;Serif" w:hAnsi="Times New Roman;Times;Serif"/>
          <w:b w:val="false"/>
          <w:i w:val="false"/>
          <w:caps w:val="false"/>
          <w:smallCaps w:val="false"/>
          <w:sz w:val="20"/>
        </w:rPr>
        <w:t>. The Company does not own and has never owned any real property. The Company has made available to Parent (a) an accurate and complete list of all real properties with respect to which the Company directly or indirectly holds a valid leasehold interest as well as any other real estate that is in the possession of, or occupied or leased by, the Company and (b) copies of all leases under which any such real property is possessed, occupied or leased (the “</w:t>
      </w:r>
      <w:r>
        <w:rPr>
          <w:rFonts w:ascii="Times New Roman;Times;Serif" w:hAnsi="Times New Roman;Times;Serif"/>
          <w:b/>
          <w:i/>
          <w:caps w:val="false"/>
          <w:smallCaps w:val="false"/>
          <w:sz w:val="20"/>
        </w:rPr>
        <w:t>Company Real Estate Leases</w:t>
      </w:r>
      <w:r>
        <w:rPr>
          <w:rFonts w:ascii="Times New Roman;Times;Serif" w:hAnsi="Times New Roman;Times;Serif"/>
          <w:b w:val="false"/>
          <w:i w:val="false"/>
          <w:caps w:val="false"/>
          <w:smallCaps w:val="false"/>
          <w:sz w:val="20"/>
        </w:rPr>
        <w:t>”), each of which is in full force and effect, with no existing material default thereunder by the Company or any of its Subsidiaries, or to the Knowledge of the Company, any other party thereto. The Company’s possession, occupancy, lease, use and/or operation of each such leased property conforms to all applicable Laws in all material respects, and the Company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The Company has not received any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of the Company Disclosure Schedule identifies each item of Registered IP owned in whole or in part by the Company, including, with respect to each registration and application: (i) the name of the applicant/registrant, (ii) the jurisdiction of application/registration, (iii) the application or registration number and (iv) any other co-owners. To the Knowledge of the Company, each of the patents and patent applications included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of the Company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the Company, threatened in writing, in which the scope, validity, enforceability or ownership of any Company IP is being or has been contested or challenged. To the Knowledge of the Company, each item of Company IP is valid and enforceable, and with respect to the Company’s Registered IP, subsisting. Except for actions arising in the ordinary course of patent prosecution, there are no actions that must be taken within ninety (90) days of the Closing, the failure of which will result in the abandonment, lapse or cancellation of any of the Company’s Registered IP.</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or its Affiliates exclusively own and are the sole assignee of all material Intellectual Property Rights owned or purported to be owned by the Company, free and clear of all Encumbrances other than Permitted Encumbrances. The Company IP and the Intellectual Property Rights licensed to the Company pursuant to a valid, enforceable written agreement constitute all Intellectual Property Rights used in, material to or otherwise necessary for the operation of the Company’s business as currently conducted. To the Knowledge of the Company, each Company Associate involved in the creation or development of any material Company IP, pursuant to such Company Associate’s activities on behalf of the Company, has signed a valid and enforceable written agreement containing an assignment of such Company Associate’s rights in such Company IP to the Company. To the Knowledge of the Company, each Company Associate who has or has had access to the Company’s trade secrets or material confidential information has signed a valid and enforceable written agreement containing confidentiality provisions protecting such trade secrets and confidential information. The Company has taken commercially reasonable steps to protect and preserve the confidentiality of its trade secrets and confidential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Knowledge of the Company, no funding, facilities or personnel of any Governmental Body or any university, college, research institute or other educational institution has been used to create Company IP owned by the Company other than those provided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of the Company Disclosure Schedule, except for any such funding or use of facilities or personnel that does not result in such Governmental Body or institution obtaining ownership rights or a license to such Company IP or the right to receive royalties for the practice of such Company IP.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2.12(d)</w:t>
      </w:r>
      <w:r>
        <w:rPr>
          <w:rFonts w:ascii="Times New Roman;Times;Serif" w:hAnsi="Times New Roman;Times;Serif"/>
          <w:b w:val="false"/>
          <w:i w:val="false"/>
          <w:caps w:val="false"/>
          <w:smallCaps w:val="false"/>
          <w:sz w:val="20"/>
        </w:rPr>
        <w:t xml:space="preserve"> of the Company Disclosure Schedule sets forth each license agreement pursuant to which the Company (i) is granted a license under any material Intellectual Property Right owned by any third party that is used by the Company in its business as currently conducted (each a “</w:t>
      </w:r>
      <w:r>
        <w:rPr>
          <w:rFonts w:ascii="Times New Roman;Times;Serif" w:hAnsi="Times New Roman;Times;Serif"/>
          <w:b/>
          <w:i/>
          <w:caps w:val="false"/>
          <w:smallCaps w:val="false"/>
          <w:sz w:val="20"/>
        </w:rPr>
        <w:t>Company In-bound License</w:t>
      </w:r>
      <w:r>
        <w:rPr>
          <w:rFonts w:ascii="Times New Roman;Times;Serif" w:hAnsi="Times New Roman;Times;Serif"/>
          <w:b w:val="false"/>
          <w:i w:val="false"/>
          <w:caps w:val="false"/>
          <w:smallCaps w:val="false"/>
          <w:sz w:val="20"/>
        </w:rPr>
        <w:t>”) or (ii) grants to any third party a license under any material Company IP or material Intellectual Property Right licensed to the Company under a Company In-bound License (each a “</w:t>
      </w:r>
      <w:r>
        <w:rPr>
          <w:rFonts w:ascii="Times New Roman;Times;Serif" w:hAnsi="Times New Roman;Times;Serif"/>
          <w:b/>
          <w:i/>
          <w:caps w:val="false"/>
          <w:smallCaps w:val="false"/>
          <w:sz w:val="20"/>
        </w:rPr>
        <w:t>Company Out-bound License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Company In-bound Licenses shall not include, when entered into in the Ordinary Course of Business, material transfer agreements, clinical trial agreements, agreements with Company Associates, services agreements, non-disclosure agreements, commercially available Software-as-a-Service offerings, or off-the-shelf software licenses; and Company Out-bound Licenses shall not include, when entered into in the Ordinary Course of Business, material transfer agreements, clinical trial agreements, services agreements, non-disclosure agreements, or non-exclusive outbound licenses). All Company In-bound Licenses and Company Out-bound Licenses are in full force and effect and are valid, enforceable and binding obligations of the Company and, to the Knowledge of Company, each other party to such Company In-bound Licenses or Company Out-bound Licenses. Neither the Company, nor to the Knowledge of the Company, any other party to such Company In-bound Licenses or Company Out-bound Licenses, is in material breach under any Company In-bound Licenses or Company Out-bound Licenses.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(i) the operation of the business of the Company and its Subsidiaries as conducted in the prior three (3) years and as currently conducted has not and does not infringe, misappropriate or otherwise violate any Intellectual Property Rights of any other Person and (ii) no other Person is infringing, misappropriating or otherwise violating any Company IP. No Legal Proceeding is pending (or, to the Knowledge of the Company, is threatened in writing) (A) against the Company alleging that the operation of the business of the Company infringes or constitutes the misappropriation or other violation of any Intellectual Property Rights of another Person or (B) by the Company alleging that another Person has infringed, misappropriated or otherwise violated any of the Company IP. In the prior three (3) years, the Company has not received any written notice or other written communication alleging that the operation of the business of the Company infringes or constitutes the misappropriation or other violation of any Intellectual Property Right of another Person.</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IP owned by the Company or, to the Knowledge of the Company, any material Company IP exclusively licensed to the Company is subject to any pending or outstanding injunction, directive, order, judgment or other disposition of dispute that adversely and materially restricts the use, transfer, registration or licensing by the Company of any such Company IP.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the operation of the Company’s business are in substantial compliance with all applicable Laws and contractual requirements pertaining to data privacy and data security of any personally identifiable information, individually identifiable health information or sensitive business information (collectively, “</w:t>
      </w:r>
      <w:r>
        <w:rPr>
          <w:rFonts w:ascii="Times New Roman;Times;Serif" w:hAnsi="Times New Roman;Times;Serif"/>
          <w:b/>
          <w:i/>
          <w:caps w:val="false"/>
          <w:smallCaps w:val="false"/>
          <w:sz w:val="20"/>
        </w:rPr>
        <w:t>Sensitive Data</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Privacy Requirements</w:t>
      </w:r>
      <w:r>
        <w:rPr>
          <w:rFonts w:ascii="Times New Roman;Times;Serif" w:hAnsi="Times New Roman;Times;Serif"/>
          <w:b w:val="false"/>
          <w:i w:val="false"/>
          <w:caps w:val="false"/>
          <w:smallCaps w:val="false"/>
          <w:sz w:val="20"/>
        </w:rPr>
        <w:t>”). Since the Lookback Date, (i) the Company has not experienced or been affected by a Security Incident, (ii) there have been no material violations of any privacy or security policy of the Company regarding any Sensitive Data used in the business of the Company, and (iii) the Company and its Subsidiaries have not been subject to any litigation or regulatory enforcement actions from any Person or Governmental Body alleging noncompliance with any applicable Privacy Requirements.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implemented commercially reasonable administrative, physical and technical safeguards, including reasonable disaster recovery and security plans and procedures, to protect the information technology systems used in, material to or necessary for operation of the Company’s business as currently conducted (the “</w:t>
      </w:r>
      <w:r>
        <w:rPr>
          <w:rFonts w:ascii="Times New Roman;Times;Serif" w:hAnsi="Times New Roman;Times;Serif"/>
          <w:b/>
          <w:i/>
          <w:caps w:val="false"/>
          <w:smallCaps w:val="false"/>
          <w:sz w:val="20"/>
        </w:rPr>
        <w:t>Company IT Systems</w:t>
      </w:r>
      <w:r>
        <w:rPr>
          <w:rFonts w:ascii="Times New Roman;Times;Serif" w:hAnsi="Times New Roman;Times;Serif"/>
          <w:b w:val="false"/>
          <w:i w:val="false"/>
          <w:caps w:val="false"/>
          <w:smallCaps w:val="false"/>
          <w:sz w:val="20"/>
        </w:rPr>
        <w:t>”) from Security Incidents. There have been no material malfunctions of the Company IT Systems and the Company IT Systems are in good working order. The Company has taken commercially reasonable steps to prevent the introduction into the Company IT Systems of, and, to the Knowledge of the Company, the Company IT Systems do not contain, any ransomware, malware, disabling codes or instructions or other malicious software routines that permit or cause unauthorized access to, or disruption, impairment, disablement or destruction of, software, data or other materials.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is not a “covered person” as defined in the Data Security Program. Since April 8, 2025, the Company has not knowingly engaged in or directed any “covered data transaction” as that term is defined in the Data Security Program, except in compliance with the Data Security Program. The Company maintains policies and procedures reasonably designed to promote compliance with the Data Security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2.13(a)</w:t>
      </w:r>
      <w:r>
        <w:rPr>
          <w:rFonts w:ascii="Times New Roman;Times;Serif" w:hAnsi="Times New Roman;Times;Serif"/>
          <w:b w:val="false"/>
          <w:i w:val="false"/>
          <w:caps w:val="false"/>
          <w:smallCaps w:val="false"/>
          <w:sz w:val="20"/>
        </w:rPr>
        <w:t xml:space="preserve"> of the Company Disclosure Schedule lists the following Company Contracts in effect as of the date of this Agreement other than any Company Benefit Plans (each, a “</w:t>
      </w:r>
      <w:r>
        <w:rPr>
          <w:rFonts w:ascii="Times New Roman;Times;Serif" w:hAnsi="Times New Roman;Times;Serif"/>
          <w:b/>
          <w:i/>
          <w:caps w:val="false"/>
          <w:smallCaps w:val="false"/>
          <w:sz w:val="20"/>
        </w:rPr>
        <w:t>Company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Company Material Contracts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Company Contract relating to any agreement of indemnification or guaranty not entered into in the Ordinary Course of Business;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Company Contract containing (A) any covenant limiting in any material respect the freedom of the Company or the Surviving Corporation to engage in any line of business or compete with any Person, (B) any most-favored pricing arrangement in favor of a Person other than Company or any similar term by which any Person is or could become entitled to any benefit, right or privilege that must be at least as favorable to such Person as those offered to any other Person, or (C) any exclusivity provision, right of first refusal or right of first negotiation or similar covenant in favor of a Person other than the Company;</w:t>
      </w:r>
    </w:p>
    <w:p>
      <w:pPr>
        <w:pStyle w:val="TextBody"/>
        <w:bidi w:val="0"/>
        <w:spacing w:before="0" w:after="0"/>
        <w:ind w:left="144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Company Contract relating to capital expenditures and requiring payments after the date of this Agreement in excess of $50,000 pursuant to its express terms and not cancelable without penalty;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Company Contract relating to the disposition or acquisition of material assets or any ownership interest in any Entity, except as contemplated hereby;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Company Contract relating to (A) the Company SAFEs or (B) any mortgages, indentures, loans, notes or credit agreements, security agreements or other agreements or instruments relating to the borrowing of money or extension of credit or creating any material Encumbrances with respect to any assets of the Company or any loans or debt obligations with officers or directors of the Company;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Company Contract requiring payment by or to the Company after the date of this Agreement in excess of $200,000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Rights that will not be owned, in whole or in part, by the Company; or (D) any Contract with any third party providing any services relating to the manufacture or production of any product, service or technology of the Company or any Contract to sell, distribute or commercialize any products or service of the Company;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Company Contract with any financial advisor, broker, finder, investment banker or other similar Person providing financial advisory services to the Company in connection with the Contemplated Transactions;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Company Real Estate Lease;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Company Contract with any Governmental Body;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Company Out-bound License and Company In-bound License, and each Company Contract containing a covenant not to sue or otherwise enforce any Intellectual Property Rights;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Company Contract containing any royalty, dividend or similar arrangement based on the revenues or profits of the Company;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Company Contract, offer letter, or employment agreement, or independent contractor agreement with any employee or individual independent contractor whose annual compensation equals or exceeds $50,000 that (A) is not immediately terminable at will by the Company without notice, severance or other cost or payment, except as required under applicable Law, or (B) provides for retention payments, change of control payments, severance, accelerated vesting, or any similar payment or benefit that may or will become due as a result of the Merger;</w:t>
      </w:r>
    </w:p>
    <w:p>
      <w:pPr>
        <w:pStyle w:val="TextBody"/>
        <w:bidi w:val="0"/>
        <w:spacing w:before="0" w:after="0"/>
        <w:ind w:left="144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each Company Contract providing any option to receive a license or other right, any right of first negotiation, any right of first refusal or any similar right to any Person related to any material Company IP or material Intellectual Property Right licensed to the Company under a Company In-bound License;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each Company Contract entered into in settlement of any Legal Proceeding or other dispute;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other Company Contract that is not terminable at will (with no penalty or payment or requirement for prior notice) by the Company, and (A) which involves payment or receipt by the Company after the date of this Agreement under any such agreement, Contract or commitment of more than $50,000 in the aggregate, or obligations after the date of this Agreement in excess of $50,000 in the aggregate, or (B) that is material to the business or operations of the Company and its Subsidiaries, taken as a whole.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delivered or made available to Parent accurate and complete copies of all Company Material Contracts, including all amendments thereto. Except as set forth in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 xml:space="preserve"> of the Company Disclosure Schedule, there are no Company Material Contracts that are not in written form. Neither the Company nor, to the Company’s Knowledge,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and no Person has indicated in writing to the Company that it desires to renegotiate, modify, not renew or cancel any Company Material Contract.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i w:val="false"/>
          <w:caps w:val="false"/>
          <w:smallCaps w:val="false"/>
          <w:sz w:val="20"/>
          <w:u w:val="single"/>
        </w:rPr>
        <w:t>Compliance; Permits;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are, and since the Lookback Date have been, in compliance in all material respects with all applicable Laws, including Healthcare Laws and Regulatory Laws, and any other similar Law administered, promulgated, or enforced by the Food and Drug Administration (“</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the Department of Health and Human Services (“</w:t>
      </w:r>
      <w:r>
        <w:rPr>
          <w:rFonts w:ascii="Times New Roman;Times;Serif" w:hAnsi="Times New Roman;Times;Serif"/>
          <w:b/>
          <w:i/>
          <w:caps w:val="false"/>
          <w:smallCaps w:val="false"/>
          <w:sz w:val="20"/>
        </w:rPr>
        <w:t>HHS</w:t>
      </w:r>
      <w:r>
        <w:rPr>
          <w:rFonts w:ascii="Times New Roman;Times;Serif" w:hAnsi="Times New Roman;Times;Serif"/>
          <w:b w:val="false"/>
          <w:i w:val="false"/>
          <w:caps w:val="false"/>
          <w:smallCaps w:val="false"/>
          <w:sz w:val="20"/>
        </w:rPr>
        <w:t>”), any agency within HHS, or other comparable Governmental Body responsible for regulation of the research, development, pre-clinical and clinical testing, manufacturing, storage, supply, approval, sale, marketing, distribution and importation or exportation of drug and biological products (each, a “</w:t>
      </w:r>
      <w:r>
        <w:rPr>
          <w:rFonts w:ascii="Times New Roman;Times;Serif" w:hAnsi="Times New Roman;Times;Serif"/>
          <w:b/>
          <w:i/>
          <w:caps w:val="false"/>
          <w:smallCaps w:val="false"/>
          <w:sz w:val="20"/>
        </w:rPr>
        <w:t>Drug Regulatory Agency</w:t>
      </w:r>
      <w:r>
        <w:rPr>
          <w:rFonts w:ascii="Times New Roman;Times;Serif" w:hAnsi="Times New Roman;Times;Serif"/>
          <w:b w:val="false"/>
          <w:i w:val="false"/>
          <w:caps w:val="false"/>
          <w:smallCaps w:val="false"/>
          <w:sz w:val="20"/>
        </w:rPr>
        <w:t>”), except for any noncompliance, either individually or in the aggregate, which would not be material to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its Subsidiaries have timely filed with the applicable regulatory authorities (including, without limitation, the FDA, all Drug Regulatory Agencies, or any other Governmental Body performing functions similar to those performed by the FDA) all material filings, documents, declarations, listings, registrations, reports, statements, amendments, supplements or submissions, including but not limited to adverse event reports, required to be filed by it under applicable Law, including all Regulatory Laws and/or those regarding non-clinical testing, clinical research, establishment registration, drug and device listing, good manufacturing practices, record-keeping, adverse event reporting, and reporting of corrections and removals. All such filings, documents, declarations, listings, registrations, reports, statements, amendments, supplements or submissions were in material compliance with applicable Laws when filed, and no material deficiencies have been asserted by any applicable Governmental Body with respect to any such filings, documents, declarations, listing, registrations, reports, statements, amendments, supplements or submissions. To the Knowledge of the Company, (i) each such filing was true and correct in all material respects as of the date of submission, or was corrected in or supplemented by a subsequent filing, and (ii) any material and legally necessary or required updates, changes, corrections, amendments, supplements or modifications to such filings have been submitted to the applicable Governmental Body.</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or its Subsidiaries holds all required Governmental Authorizations which are material to the operation of the business of the Company as currently conducted (the “</w:t>
      </w:r>
      <w:r>
        <w:rPr>
          <w:rFonts w:ascii="Times New Roman;Times;Serif" w:hAnsi="Times New Roman;Times;Serif"/>
          <w:b/>
          <w:i/>
          <w:caps w:val="false"/>
          <w:smallCaps w:val="false"/>
          <w:sz w:val="20"/>
        </w:rPr>
        <w:t>Company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xml:space="preserve"> of the Company Disclosure Schedule identifies each Company Permit. Each such Company Permit is valid and in full force and effect, and the Company is in material compliance with the terms of the Company Permits. No Legal Proceeding is pending or, to the Knowledge of the Company, threatened, which seeks to revoke, limit, suspend, or materially modify any Company Permit. The rights and benefits of each Company Permit will be available to the Surviving Corporation, as applicable, immediately after the Effective Time on terms substantially identical to those enjoyed by the Company as of the date of this Agreement and immediately prior to the Effective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proceedings pending or, to the Knowledge of the Company, threatened against the Company or any of its Subsidiaries with respect to an alleged material violation by the Company or any of its Subsidiaries of any Regulatory Laws or any other similar Law administered or promulgated by any Drug Regulatory Agency. Neither the Company or any of its Subsidiaries nor any of their respective officers and employees has been or is subject to any enforcement proceedings by the FDA or other Governmental Body and, to the Knowledge of the Company, no such proceedings have been threatened. There has not been and is not now any Form FDA-483 observation, civil, criminal or administrative action, suit, demand, claim, complaint, hearing, investigation, demand letter, warning letter, untitled letter, or proceeding pending or in effect against the Company or any of their respective officers and employees, and the Company has no liability for failure to comply with any Regulatory Laws or other similar Laws. There is no act, omission, event, or circumstance of which the Company has Knowledge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any Regulatory Laws or other similar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holds all required Governmental Authorizations issuable by any Drug Regulatory Agency necessary or material to the conduct of the business of the Company as currently conducted (collectively, the “</w:t>
      </w:r>
      <w:r>
        <w:rPr>
          <w:rFonts w:ascii="Times New Roman;Times;Serif" w:hAnsi="Times New Roman;Times;Serif"/>
          <w:b/>
          <w:i/>
          <w:caps w:val="false"/>
          <w:smallCaps w:val="false"/>
          <w:sz w:val="20"/>
        </w:rPr>
        <w:t>Company Regulatory Authorizations</w:t>
      </w:r>
      <w:r>
        <w:rPr>
          <w:rFonts w:ascii="Times New Roman;Times;Serif" w:hAnsi="Times New Roman;Times;Serif"/>
          <w:b w:val="false"/>
          <w:i w:val="false"/>
          <w:caps w:val="false"/>
          <w:smallCaps w:val="false"/>
          <w:sz w:val="20"/>
        </w:rPr>
        <w:t>”) and no such Company Regulatory Authorization has been (i) revoked, withdrawn, suspended, cancelled or terminated or (ii) modified in any adverse manner. There is no basis for believing that such Company Regulatory Authorizations will not be renewable upon expiration. The Company is in compliance in all material respects with the Company Regulatory Authorizations and has not received any written notice or other written communication, or to the Knowledge of the Company, any other communication from any Drug Regulatory Agency regarding (A) any material violation of or failure to comply materially with any term or requirement of any Company Regulatory Authorization or (B) any revocation, withdrawal, suspension, cancellation, termination or material modification of any Company Regulatory Authorization. To the Knowledge of the Company, there are no facts that would be reasonably likely to result in any warning, untitled or notice of violation letter or Form FDA-483 from the FDA.</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where applicable, timely applied for renewal of all Governmental Authorizations, including Company Permits and Company Regulatory Authorizations, and third-party certifications. To the Knowledge of Company, there is no reason to believe that the Company will be unable to renew any such Governmental Authorizations, including Company Permits and Company Regulatory Authorizations, and third-party certifications, as and when needed for their continued operation as currently conducted without material expense or delay.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its Subsidiaries nor any of the entities that manufacture, process, package, supply for or distribute products or product candidates of the Company and its Subsidiaries, has voluntarily or involuntarily initiated, conducted or issued, or caused to be initiated, conducted or issued, any recall, field alert, field correction, market withdrawal or replacement, safety alert or other notice or action relating to an alleged lack of safety, efficacy, or regulatory compliance of, or enjoining the manufacture or distribution of, any such products. No facts or circumstances exist that are reasonably likely to cause (i) the recall, market withdrawal or replacement of any product or product candidate of the Company sold or intended to be sold, (ii) as a result of a regulatory action, a material change in the labeling of any such products or a termination or suspension of the marketing of any such products by the Companies or (iii) the loss, suspension or modification of any currently held third-party certification.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clinical, pre-clinical and other studies and tests conducted by or on behalf of, or sponsored by, the Company, or in which the Company or its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all Regulatory Laws, the Good Clinical Practice (“</w:t>
      </w:r>
      <w:r>
        <w:rPr>
          <w:rFonts w:ascii="Times New Roman;Times;Serif" w:hAnsi="Times New Roman;Times;Serif"/>
          <w:b/>
          <w:i/>
          <w:caps w:val="false"/>
          <w:smallCaps w:val="false"/>
          <w:sz w:val="20"/>
        </w:rPr>
        <w:t>GCP</w:t>
      </w:r>
      <w:r>
        <w:rPr>
          <w:rFonts w:ascii="Times New Roman;Times;Serif" w:hAnsi="Times New Roman;Times;Serif"/>
          <w:b w:val="false"/>
          <w:i w:val="false"/>
          <w:caps w:val="false"/>
          <w:smallCaps w:val="false"/>
          <w:sz w:val="20"/>
        </w:rPr>
        <w:t>”) regulations under 21 C.F.R. Parts 50, 54, 56 and 312 and Good Laboratory Practice (“</w:t>
      </w:r>
      <w:r>
        <w:rPr>
          <w:rFonts w:ascii="Times New Roman;Times;Serif" w:hAnsi="Times New Roman;Times;Serif"/>
          <w:b/>
          <w:i/>
          <w:caps w:val="false"/>
          <w:smallCaps w:val="false"/>
          <w:sz w:val="20"/>
        </w:rPr>
        <w:t>GLP</w:t>
      </w:r>
      <w:r>
        <w:rPr>
          <w:rFonts w:ascii="Times New Roman;Times;Serif" w:hAnsi="Times New Roman;Times;Serif"/>
          <w:b w:val="false"/>
          <w:i w:val="false"/>
          <w:caps w:val="false"/>
          <w:smallCaps w:val="false"/>
          <w:sz w:val="20"/>
        </w:rPr>
        <w:t>”) regulations under 21 C.F.R. Part 58. No preclinical study or clinical trial conducted by or on behalf of the Company has been terminated or suspended prior to completion for safety or noncompliance reasons. Since their inception, the Company has not received any notices, correspondence, or other communications from any Drug Regulatory Agency, Institutional Review Board or Ethics Committee, requiring, or to the Knowledge of the Company, threatening to initiate, the termination, suspension or material modification of any clinical studies conducted by or on behalf of, or sponsored by, the Company or in which the Company or its current products or product candidates have participated or to disqualify, restrict or debar any preclinical or clinical investigator or other Person involved in any such study or trial.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is the subject of any pending or, to the Knowledge of the Company, threatened investigation in respect of its business or products or product candidates pursuant to the FDA’s “Fraud, Untrue Statements of Material Facts, Bribery, and Illegal Gratuities” Final Policy set forth in 56 Fed. Reg. 46191 (September 10, 1991) and any amendments thereto. To the Knowledge of the Company, neither the Company nor any of its Subsidiaries has not committed any acts, made any statement, or failed to make any statement, in each case in respect of its business or products or product candidate that would violate the FDA’s “Fraud, Untrue Statements of Material Facts, Bribery, and Illegal Gratuities” Final Policy, and any amendments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Since the Lookback Date, none of the Company, its Subsidiaries or any of their respective officers, directors, employees or, to the Knowledge of the Company, agents has been, is, or is in anticipation of being (based on a conviction by the courts or a finding of fault by a regulatory authority): (i) debarred pursuant to the Generic Drug Enforcement Act of 1992 (21 U.S.C. § 335a), as amended from time to time; (ii) disqualified from participating in clinical trials pursuant to 21 C.F.R. § 312.70, as amended from time to time; (iii) disqualified as a testing facility under 21 C.F.R. Part 58, Subpart K, as amended from time to time; (iv) excluded, debarred or suspended from or otherwise ineligible to participate in a “Federal Health Care Program” as that term is defined in 42 U.S.C. § 1320a-7b(f), including under 42 U.S.C. § 1320a-7 or relevant regulations in 42 C.F.R. Part 1001; (v) assessed or threatened with assessment of civil money penalties pursuant to 42 C.F.R. Part 1003; or (vi) included on the HHS Office of Inspector General List of Excluded Individuals/Entities, the General Services Administration’s System for Award Management, or the FDA Debarment List or the FDA Disqualified/Restricted List. Since the Lookback Date, neither the Company, its Subsidiaries nor any of their respective officers, directors, employees or, to the Knowledge of the Company, agents has engaged in any activities that are prohibited, or are cause for civil penalties, or grounds for mandatory or permissive exclusion, debarment, or suspension pursuant to any of these authorities. Neither the Company nor any of its Subsidiaries is using, and, since the Lookback Date, has ever used, in any capacity any Person that has ever been, or to the Knowledge of Company, is the subject of a proceeding that could lead to the Persons becoming debarred, excluded, disqualified, restricted or suspended pursuant to any of these authorities.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Since the Lookback Date, the Company and each of its Subsidiaries has materially complied with all applicable Laws relating to patient, medical, individually identifiable health information, including, to the extent applicable, the Health Insurance Portability and Accountability Act of 1996 and its implementing regulations promulgated thereunder, all as amended from time to time (collectively, “</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To the extent HIPAA is applicable to the Company or any of its Subsidiaries, such Entity is in material compliance with HIPAA’s requirements, including: (i) entering into, where required, and complying in all material respects with the terms of all Business Associate (as defined in HIPAA) agreements (“</w:t>
      </w:r>
      <w:r>
        <w:rPr>
          <w:rFonts w:ascii="Times New Roman;Times;Serif" w:hAnsi="Times New Roman;Times;Serif"/>
          <w:b/>
          <w:i/>
          <w:caps w:val="false"/>
          <w:smallCaps w:val="false"/>
          <w:sz w:val="20"/>
        </w:rPr>
        <w:t>Business Associate Agreements</w:t>
      </w:r>
      <w:r>
        <w:rPr>
          <w:rFonts w:ascii="Times New Roman;Times;Serif" w:hAnsi="Times New Roman;Times;Serif"/>
          <w:b w:val="false"/>
          <w:i w:val="false"/>
          <w:caps w:val="false"/>
          <w:smallCaps w:val="false"/>
          <w:sz w:val="20"/>
        </w:rPr>
        <w:t xml:space="preserve">”) to which the Company or any of its Subsidiaries is a party or otherwise bound; (ii) creating and maintaining written policies and procedures in accordance with HIPAA’s requirements; (iii) providing training to all employees and agents as required under HIPAA; (iv) and implementing security procedures, including physical, technical and administrative safeguards, to protect all personal information and Protected Health Information stored or transmitted in electronic form. Since the Lookback Date, neither the Company nor any of its Subsidiaries has received written notice from the Office for Civil Rights for the U.S. Department of Health and Human Services or any other Governmental Body of any allegation regarding its failure to comply with HIPAA. Since the Lookback Date, there has been no successful Security Incident or Breach of Unsecured Sensitive Information or Protected Health Information. All capitalized terms in this </w:t>
      </w:r>
      <w:r>
        <w:rPr>
          <w:rFonts w:ascii="Times New Roman;Times;Serif" w:hAnsi="Times New Roman;Times;Serif"/>
          <w:b w:val="false"/>
          <w:i w:val="false"/>
          <w:caps w:val="false"/>
          <w:smallCaps w:val="false"/>
          <w:sz w:val="20"/>
          <w:u w:val="single"/>
        </w:rPr>
        <w:t>Section 2.14(k)</w:t>
      </w:r>
      <w:r>
        <w:rPr>
          <w:rFonts w:ascii="Times New Roman;Times;Serif" w:hAnsi="Times New Roman;Times;Serif"/>
          <w:b w:val="false"/>
          <w:i w:val="false"/>
          <w:caps w:val="false"/>
          <w:smallCaps w:val="false"/>
          <w:sz w:val="20"/>
        </w:rPr>
        <w:t xml:space="preserve"> not otherwise defined in this Agreement shall have the meanings set forth under HIPAA.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i w:val="false"/>
          <w:caps w:val="false"/>
          <w:smallCaps w:val="false"/>
          <w:sz w:val="20"/>
          <w:u w:val="single"/>
        </w:rPr>
        <w:t>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this Agreement, there is no material pending Legal Proceeding and, to the Knowledge of the Company, no Person has threatened in writing to commence any Legal Proceeding: (i) that involves (A) the Company, (B) any of its Subsidiaries, (C) any Company Associate (in his or her capacity as such) or (D) any of the material assets owned or used by the Company or its Subsidiaries; or (ii) that challenges, or that would have the effect of preventing, delaying, making illegal or otherwise interfering with, the Contemplated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of the Company Disclosure Schedule, since the Company’s inception through the date of this Agreement, no Legal Proceeding has been pending against the Company that resulted in material liability to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no order, writ, injunction, judgment or decree to which the Company, or any of the material assets owned or used by the Company or any of its Subsidiaries, is subject. To the Knowledge of the Company, no officer or employees of the Company or any of its Subsidiaries is subject to any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have timely filed all Tax Returns that were required to be filed by or with respect to it under applicable Law. All such Tax Returns are correct and complete in all material respects and have been prepared in compliance with all applicable Law. No claim has ever been made by any Governmental Body in any jurisdiction where the Company or any of its Subsidiaries do not file Tax Returns that the Company or its Subsidiaries may be subject to taxation by that jurisdiction.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the Company or any of its Subsidiaries (whether or not shown on any Tax Return) have been fully and timely paid. The unpaid Taxes of the Company and its Subsidiaries did not, as of the date of the Company Unaudited Interim Balance Sheet, materially exceed the reserve for Tax liability (excluding any reserve for deferred Taxes established to reflect timing differences between book and Tax items) set forth on the face of the Company Unaudited Interim Balance Sheet. Since the date of the Company Unaudited Interim Balance Sheet, neither the Company nor any of its Subsidiaries has not incurred any material Liability for Taxes outside the Ordinary Course of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Taxes that the Company and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material Taxes (other than Taxes not yet due and payable) upon any of the assets of the Company and its Subsidiaries.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a material amount of Taxes with respect to the Company and its Subsidiaries have been claimed, proposed or assessed by any Governmental Body in writing. There are no pending, ongoing, or threatened audits, assessments or other actions for or relating to any liability in respect of a material amount of Taxes of the Company and its Subsidiaries. Neither the Company, its Subsidiaries nor any of its predecessors has waived any statute of limitations or agreed to any extension of time with respect to any income or other material Tax assessment or deficiency.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is not and has not been a United States real property holding corporation within the meaning of Section 897(c)(2) of the Code during the applicable period specified in Section 897(c)(1)(A)(ii) of the Code. None of the assets or Subsidiaries of the Company are or would be, if such entity were regarded, United States real property interests.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None of the Company or its Subsidiaries’ assets have generated effectively connected income nor is the Company or its Subsidiaries engaged in a U.S. trade or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will be required to include or accelerate any item of income in, or exclude or defer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non-U.S. Law) executed on or prior to the Closing Date; (iv) intercompany transaction or excess loss account described in Treasury Regulations under Section 1502 of the Code (or any similar provision of state, local or non-U.S. Law); (v) installment sale or open transaction disposition made on or prior to the Closing Date; (vi) prepaid amount, advance payment or deferred revenue received or accrued on or prior to the Closing Date; (vii) application of Section 367(d) of the Code to any transfer of intangible property on or prior to the Closing Date; (viii) application of Sections 951 or 951A of the Code (or any similar provision of state, local or non-U.S. Law) to any income received or accrued on or prior to the Closing Date; or (ix) election under Section 108(i) of the Code (or any similar provision of state, local or non-U.S. Law). The Company and its Subsidiaries have not made any election under Section 965(h) of the Code.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and its Subsidiaries have no Liability for any material Taxes of any Person (other than the Company) under Treasury Regulations Section 1.1502-6 (or any similar provision of state, local, or non-U.S. Law), as a transferee or successor, by Contract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has never distributed stock of another Person, or had its stock distributed by another Person, in a transaction that was purported or intended to be governed in whole or in part by Section 355 of the Code or Section 361 of the Code (or any similar provisions of state, local or non-U.S.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its Subsidiaries has not participated in or been a party to a transaction that, as of the date of this Agreement, constitutes a “reportable transaction” within the meaning of Section 6707A(c) of the Code and Treasury Regulations Section 1.6011-4(b)(2) (or any similar provision of state, local or non-U.S.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Company nor any of its Subsidiaries has taken any action (or agreed to take any action) or become aware of any fact that would reasonably be expected to prevent or impede the Merger from qualifying for the Intended Tax Treatment.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Section 2.16(n)</w:t>
      </w:r>
      <w:r>
        <w:rPr>
          <w:rFonts w:ascii="Times New Roman;Times;Serif" w:hAnsi="Times New Roman;Times;Serif"/>
          <w:b w:val="false"/>
          <w:i w:val="false"/>
          <w:caps w:val="false"/>
          <w:smallCaps w:val="false"/>
          <w:sz w:val="20"/>
        </w:rPr>
        <w:t xml:space="preserve"> of the Company Disclosure Schedule sets forth the entity classification of the Company and each of its Subsidiaries for U.S. federal income tax purposes. Neither the Company nor any of its Subsidiaries has not made an election or taken any other action to change its federal and state income Tax classification from such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each reference to the Company or any of its Subsidiaries shall be deemed to include any Person that was liquidated into, merged with, or is otherwise a predecessor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2.17(a)</w:t>
      </w:r>
      <w:r>
        <w:rPr>
          <w:rFonts w:ascii="Times New Roman;Times;Serif" w:hAnsi="Times New Roman;Times;Serif"/>
          <w:b w:val="false"/>
          <w:i w:val="false"/>
          <w:caps w:val="false"/>
          <w:smallCaps w:val="false"/>
          <w:sz w:val="20"/>
        </w:rPr>
        <w:t xml:space="preserve"> of the Company Disclosure Schedule is a list of all material Company Benefit Plans (except for (x) any individual stock purchase, stock option and other equity compensation agreements which do not deviate from the representative forms of such agreements made available to Parent, and (y) employment agreements and offer letters establishing at-will employment without obligating the Company to make any payment or provide any benefit upon termination of employment other than through a plan, program, policy, arrangement or agreement listed on </w:t>
      </w:r>
      <w:r>
        <w:rPr>
          <w:rFonts w:ascii="Times New Roman;Times;Serif" w:hAnsi="Times New Roman;Times;Serif"/>
          <w:b w:val="false"/>
          <w:i w:val="false"/>
          <w:caps w:val="false"/>
          <w:smallCaps w:val="false"/>
          <w:sz w:val="20"/>
          <w:u w:val="single"/>
        </w:rPr>
        <w:t>Section 2.17(a)</w:t>
      </w:r>
      <w:r>
        <w:rPr>
          <w:rFonts w:ascii="Times New Roman;Times;Serif" w:hAnsi="Times New Roman;Times;Serif"/>
          <w:b w:val="false"/>
          <w:i w:val="false"/>
          <w:caps w:val="false"/>
          <w:smallCaps w:val="false"/>
          <w:sz w:val="20"/>
        </w:rPr>
        <w:t xml:space="preserve"> of the Company Disclosure Schedule). “</w:t>
      </w:r>
      <w:r>
        <w:rPr>
          <w:rFonts w:ascii="Times New Roman;Times;Serif" w:hAnsi="Times New Roman;Times;Serif"/>
          <w:b/>
          <w:i/>
          <w:caps w:val="false"/>
          <w:smallCaps w:val="false"/>
          <w:sz w:val="20"/>
        </w:rPr>
        <w:t>Company Benefit Plan</w:t>
      </w:r>
      <w:r>
        <w:rPr>
          <w:rFonts w:ascii="Times New Roman;Times;Serif" w:hAnsi="Times New Roman;Times;Serif"/>
          <w:b w:val="false"/>
          <w:i w:val="false"/>
          <w:caps w:val="false"/>
          <w:smallCaps w:val="false"/>
          <w:sz w:val="20"/>
        </w:rPr>
        <w:t>” means each (i) “employee benefit plan” as defined in Section 3(3) of ERISA, whether or not subject to ERISA, and (ii) other pension, retirement, deferred compensation, excess benefit, profit sharing, bonus, commission, equity or equity-based incentive,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and including any that have been frozen), in each case, sponsored, maintained, administered, contributed to, or required to be contributed to, by the Company for the benefit of any current or former employee, director, officer or independent contractor of the Company or under which the Company has any actual or contingent liability.</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applicable with respect to each Company Benefit Plan, the Company has made available to Parent, true and complete copies of (i) each material Company Benefit Plan, including all amendments thereto, and in the case of an unwritten material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Form 5500 and all schedules thereto), (v) the most recent IRS determination, opinion or advisory letter, (vi) the most recent summary annual reports, nondiscrimination testing reports, actuarial reports, financial statements and trustee reports, and (vii) all notices and filings from the IRS or Department of Labor or other Governmental Body concerning audits, investigations, plan corrections or “prohibited transactions” within the meaning of Section 406 of ERISA or Section 4975 of the Code.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Lookback Date, each Company Benefit Plan has been maintained, operated and administered in compliance in all material respects with its terms and the applicable provisions of ERISA, the Code and all other Laws. Since the Lookback Date, the Company and each Company ERISA Affiliate has complied in all material respects with the applicable provisions of the Patient Protection and Affordable Care Act, as amended by the Health Care and Education Reconciliation Act of 2010 (the “</w:t>
      </w:r>
      <w:r>
        <w:rPr>
          <w:rFonts w:ascii="Times New Roman;Times;Serif" w:hAnsi="Times New Roman;Times;Serif"/>
          <w:b/>
          <w:i/>
          <w:caps w:val="false"/>
          <w:smallCaps w:val="false"/>
          <w:sz w:val="20"/>
        </w:rPr>
        <w:t>ACA</w:t>
      </w:r>
      <w:r>
        <w:rPr>
          <w:rFonts w:ascii="Times New Roman;Times;Serif" w:hAnsi="Times New Roman;Times;Serif"/>
          <w:b w:val="false"/>
          <w:i w:val="false"/>
          <w:caps w:val="false"/>
          <w:smallCaps w:val="false"/>
          <w:sz w:val="20"/>
        </w:rPr>
        <w:t>”), and neither the Company nor any Company ERISA Affiliate has not received, or reasonably expect to receive, any penalty notice with respect to the ACA.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Benefit Plans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the Company, nothing has occurred that would reasonably be expected to materially adversely affect the qualification of such Company Benefit Plan or the tax exempt status of the related trust.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last six (6) years, neither the Company nor any Company ERISA Affiliate has maintained, established, participated in contributed to, has been required to contribute to, or has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audits or investigations by any Governmental Body involving any Company Benefit Plan, and no pending or, to the Knowledge of the Company, threatened claims (except for routine individual claims for benefits payable in the normal operation of the Company Benefit Plans), suits or proceedings involving any Company Benefit Plan, or, to the Knowledge of the Company, any fiduciary thereof or service provider thereto, in any case except as would not be reasonably expected to result in material liability to the Company. All contributions and premium payments required to have been made under any of the Company Benefit Plans or by applicable Law (without regard to any waivers granted under Section 412 of the Code), have been timely made and the Company has no material liability for any unpaid contributions with respect to any Company Benefit Plan. Each Company Benefit Plan may be terminated in accordance with its terms and applicable Law without the imposition of material liability (including any contingent liability) on the Company.</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to the Knowledge of the Company, any fiduciary, trustee or administrator of any Company Benefit Plan, has engaged in, or in connection with the Contemplated Transactions will engage in, any transaction with respect to any Company Benefit Plan which would subject any such Company Benefit Plan, the Company, or Parent to a material Tax, material penalty or material liability for a “prohibited transaction” under Section 406 of ERISA or Section 4975 of the Code.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Benefit Plan provides death, medical, dental, vision, life insurance or other welfare benefits beyond termination of service or retirement other than coverage mandated by Law and the Company has not made a written representation promising the same.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execution of this Agreement, nor the performance of the Contemplated Transactions (either alone or when combined with the occurrence of any other event, including without limitation, a termination of employment), will: (i) result in any payment becoming due to any current or former employee, director, officer, or independent contractor of the Company thereof, pursuant to any Company Benefit Plan or otherwise, (ii) increase any amount of compensation or benefits otherwise payable under any Company Benefit Plan or otherwise, (iii) result in the acceleration of the time of payment, funding or vesting of any benefits under any Company Benefit Plan or otherwise, (iv) require any contribution or payment to fund any obligation under any Company Benefit Plan or otherwise or (v) limit the right to merge, amend or terminate any Company Benefit Plan.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set forth in </w:t>
      </w:r>
      <w:r>
        <w:rPr>
          <w:rFonts w:ascii="Times New Roman;Times;Serif" w:hAnsi="Times New Roman;Times;Serif"/>
          <w:b w:val="false"/>
          <w:i w:val="false"/>
          <w:caps w:val="false"/>
          <w:smallCaps w:val="false"/>
          <w:sz w:val="20"/>
          <w:u w:val="single"/>
        </w:rPr>
        <w:t>Section 2.17(j)</w:t>
      </w:r>
      <w:r>
        <w:rPr>
          <w:rFonts w:ascii="Times New Roman;Times;Serif" w:hAnsi="Times New Roman;Times;Serif"/>
          <w:b w:val="false"/>
          <w:i w:val="false"/>
          <w:caps w:val="false"/>
          <w:smallCaps w:val="false"/>
          <w:sz w:val="20"/>
        </w:rPr>
        <w:t xml:space="preserve"> of the Company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Code Section 280G) with respect to the Company of any payment or benefit that is or could be characterized as a “parachute payment” (within the meaning of Code Section 280G), determined without regard to the application of Code Section 280G(b)(5).</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Company Benefit Plan that is a “nonqualified deferred compensation plan” (as defined in Section 409A(d)(1) of the Code) has been operated and administered in compliance with, is and has been in documentary compliance with, Section 409A of the Code, in each case, in all material respects.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current or former employee, officer, director or independent contractor of the Company has any “gross up” agreements with the Company or other assurance of reimbursement by the Company for any Taxes imposed under Code Section 409A or Code Section 4999.</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does not maintain any Company Benefit Plan outside of the United States.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has provided to Parent a true and correct list, as of the date of this Agreement, containing the names of all current full-time or part-time employees and individual independent contractors (and indication as such), and, as applicable: (i) base compensation (hourly rate or annual salary, as applicable) and target bonus or commission for 2026, if applicable; (ii) dates of employment or service; (iii) title and, with respect to independent contractors, the type of services provided; (iv) visa status, if applicable; (v) location in which services are primarily performed (city, state, and country); and (vi) with respect to employees, (A) a designation of whether they are classified as exempt or non-exempt for purposes of the Fair Labor Standards Act, as amended (“</w:t>
      </w:r>
      <w:r>
        <w:rPr>
          <w:rFonts w:ascii="Times New Roman;Times;Serif" w:hAnsi="Times New Roman;Times;Serif"/>
          <w:b/>
          <w:i/>
          <w:caps w:val="false"/>
          <w:smallCaps w:val="false"/>
          <w:sz w:val="20"/>
        </w:rPr>
        <w:t>FLSA</w:t>
      </w:r>
      <w:r>
        <w:rPr>
          <w:rFonts w:ascii="Times New Roman;Times;Serif" w:hAnsi="Times New Roman;Times;Serif"/>
          <w:b w:val="false"/>
          <w:i w:val="false"/>
          <w:caps w:val="false"/>
          <w:smallCaps w:val="false"/>
          <w:sz w:val="20"/>
        </w:rPr>
        <w:t>”) and any similar state Law, (B) whether such an employee is on leave and, if so, the nature of such leave and expected return date, and (C) full-time or part-time status.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purporting to represent or seeking to represent any employees of the Company, including through the filing of a petition for representation election. There is not any pending, nor, to the Knowledge of the Company, is there any threat of, any strike, slowdown, work stoppage, lockout, union election petition, demand for recognition, or any similar labor dispute against the Company. To the Knowledge of the Company, there is no union organizing activity against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and each of its Subsidiaries is, and since the Lookback Date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There are no actions, suits, claims, charges, lawsuits, investigations, audits or administrative matters pending or, to the Knowledge of the Company, threatened or reasonably anticipated against the Company or any of its Subsidiaries relating to any employee, applicant for employment, or consultant.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the past three (3) years, the Company has not implemented any “plant closing” or “mass layoff” of employees that would reasonably be expected to require notification under the WARN Act or any similar state or local Law, no such “plant closing” or “mass layoff” will be implemented before the Closing Date without advance notification to and approval of Parent, and there has been no “employment loss” as defined by the WARN Act within the ninety (90) days prior to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Since the Lookback Date (i) no allegations of sexual harassment, gender discrimination, sexual assault, or other sexual misconduct have been made by, against or otherwise involving any current or former officer, director, manager, or other supervisory-level employee of the Company in connection with such individual’s provision of services to the Company, and (ii) the Company has not entered into or is a party to any settlement agreement with any Person that involves allegations relating to sexual harassment, gender discrimination, sexual assault or other sexual misconduct by any officer, director, manager, or other supervisory-level employee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is and since the Company’s inception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the Company’s inception, any written notice or other communication (in writing or otherwise), whether from a Governmental Body or other Person, that alleges that the Company is not in compliance with or has liability pursuant to any Environmental Law and, to the Knowledge of the Company, there are no circumstances that would reasonably be expected to prevent or interfere with the Company’s compliance in any material respects with any Environmental Law, except where such failure to comply would not reasonably be expected to be material to the Company or its business. No current or (during the time a prior property was leased or controlled by the Company) prior property leased or controlled by the Company has had a release of or exposure to Hazardous Materials in material violation of or as would reasonably be expected to result in any material liability of the Company pursuant to Environmental Law. No consent, approval or Governmental Authorization of or registration or filing with any Governmental Body is required by Environmental Laws in connection with the execution and delivery of this Agreement or consummation of the Contemplated Transactions by the Company. Prior to the date hereof, the Company has provided or otherwise made available to Parent true and correct copies of all material environmental reports, assessments, studies and audits in the possession or control of the Company with respect to any property leased or controlled by the Company or any business operated by it.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(a) cancellation or invalidation of any insurance policy; or (b)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i w:val="false"/>
          <w:caps w:val="false"/>
          <w:smallCaps w:val="false"/>
          <w:sz w:val="20"/>
          <w:u w:val="single"/>
        </w:rPr>
        <w:t>No Financial Advisors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 xml:space="preserve"> of the Company Disclosure Schedule describes any material transactions or relationships, since the Company’s inception, between, on one hand, the Company and, on the other hand, any (i) officer or director of the Company or, to the Knowledge of the Company, any of such officer’s or director’s immediate family members, (ii) owner of more than 5% of the voting power of the outstanding Company Shares or (iii) to the Knowledge of the Company, any “related person” (within the meaning of Item 404 of Regulation S-K under the Securities Act) of any such officer, director or owner (other than the Company) in the case of each of (i), (ii) or (iii) that is of the type that would be required to be disclosed under Item 404 of Regulation S-K under the 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xml:space="preserve"> of the Company Disclosure Schedule lists each stockholders agreement, voting agreement, registration rights agreement, co-sale agreement or other similar Contract between the Company and any holders of Company Shares, including any such Contract granting any Person investor rights, rights of first refusal, rights of first offer, registration rights, director designation rights or similar rights (collectively, the “</w:t>
      </w:r>
      <w:r>
        <w:rPr>
          <w:rFonts w:ascii="Times New Roman;Times;Serif" w:hAnsi="Times New Roman;Times;Serif"/>
          <w:b/>
          <w:i/>
          <w:caps w:val="false"/>
          <w:smallCaps w:val="false"/>
          <w:sz w:val="20"/>
        </w:rPr>
        <w:t>Investor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i w:val="false"/>
          <w:caps w:val="false"/>
          <w:smallCaps w:val="false"/>
          <w:sz w:val="20"/>
          <w:u w:val="single"/>
        </w:rPr>
        <w:t>International Trade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Lookback Date, the Company has not (i) received any written notice alleging a violation of Sanctions Laws that occurred subsequent to April 24, 2019, (ii) been or is currently a Sanctions Target or Sanctioned Person, or has been named to any denied parties list administered by relevant Governmental Bodies, or (iii) violated or been investigated, charged, or convicted of violating any International Trade Laws.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Lookback Date, the Company has not exported goods or services in violation of applicable International Trade Laws—including, but not limited to the Export Administration Regulations (15 C.F.R. §§ 730-774) and International Traffic in Arms Regulations (22 C.F.R. 120-130)—nor engaged in any other transactions, or otherwise dealt, with any Sanctioned Person or Sanctioned Country. Neither the Company nor its Subsidiaries has received any written notice since the Lookback Date alleging either (i) the failure to obtain any material license or authorization required under applicable International Trade Laws governing exports or related dealings, or (ii) an actual or suspected violation of International Trade Laws governing exports or related dealings.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January 8, 2025, the Company has at all times complied with all applicable requirements of the Data Security Program administered by the U.S. Department of Justice, 28 C.F.R. § 202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including restrictions and licensing obligations related to bulk U.S. sensitive personal data or government-related data transfers to any country of concern or covered person as defined therein. The Company has not received any written notice, inquiry, or penalty, from any Governmental Body, alleging that it is in violation of the Data Security Program.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(i) imported products produced with forced labor in violation of applicable Law, including but not limited to, products from entities identified pursuant to the Uyghur Forced Labor Prevention Act (UFLPA), nor (ii) imported products or goods for entry into the United States in violation of regulations or standards promulgated or enforced by U.S. Customs and Border Protection.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at all times since the Lookback Date: (i) obtained, and acted in compliance with, all registrations, licenses, agreements, permits, and all other consents, authorizations, waivers, approvals, and orders required or issued under applicable International Trade Laws; (ii) made, filed, or caused to be filed, all notices, registrations, declarations and filings with any Governmental Body required by applicable International Trade Laws; and (iii) met the requirements of any general or specific licenses, license exceptions, and license exemptions, as required under applicable International Trade Laws in connection with the import, transshipment, export, reexport, release, storage, development, production, testing, maintenance, brokering, or transfer of products, services, software, technology, technical data or other know-how.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policies and procedures in place, including but not limited to third-party screening software/tools that are reasonably designed to ensure compliance with International Trade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i w:val="false"/>
          <w:caps w:val="false"/>
          <w:smallCaps w:val="false"/>
          <w:sz w:val="20"/>
          <w:u w:val="single"/>
        </w:rPr>
        <w:t>Anti-Bribery</w:t>
      </w:r>
      <w:r>
        <w:rPr>
          <w:rFonts w:ascii="Times New Roman;Times;Serif" w:hAnsi="Times New Roman;Times;Serif"/>
          <w:b w:val="false"/>
          <w:i w:val="false"/>
          <w:caps w:val="false"/>
          <w:smallCaps w:val="false"/>
          <w:sz w:val="20"/>
        </w:rPr>
        <w:t>. None of the Company or any of its directors, officers, employees or, to the Company’s Knowledge, agents or any other Person acting on their behalf (in each in their respective capacities as such)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Times;Serif" w:hAnsi="Times New Roman;Times;Serif"/>
          <w:b/>
          <w:i/>
          <w:caps w:val="false"/>
          <w:smallCaps w:val="false"/>
          <w:sz w:val="20"/>
        </w:rPr>
        <w:t>Anti-Bribery Laws</w:t>
      </w:r>
      <w:r>
        <w:rPr>
          <w:rFonts w:ascii="Times New Roman;Times;Serif" w:hAnsi="Times New Roman;Times;Serif"/>
          <w:b w:val="false"/>
          <w:i w:val="false"/>
          <w:caps w:val="false"/>
          <w:smallCaps w:val="false"/>
          <w:sz w:val="20"/>
        </w:rPr>
        <w:t>”). The Company is not and has not been the subject of any investigation or inquiry by any Governmental Body with respect to potential violations of Anti-Bribery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i w:val="false"/>
          <w:caps w:val="false"/>
          <w:smallCaps w:val="false"/>
          <w:sz w:val="20"/>
          <w:u w:val="single"/>
        </w:rPr>
        <w:t>Accredited Investors</w:t>
      </w:r>
      <w:r>
        <w:rPr>
          <w:rFonts w:ascii="Times New Roman;Times;Serif" w:hAnsi="Times New Roman;Times;Serif"/>
          <w:b w:val="false"/>
          <w:i w:val="false"/>
          <w:caps w:val="false"/>
          <w:smallCaps w:val="false"/>
          <w:sz w:val="20"/>
        </w:rPr>
        <w:t>. To the Knowledge of the Company, each holder of Company Shares as of immediately prior to the Effective Time is an accredited investor, as that term is defined in Regulation D promulgated by the SEC.</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i w:val="false"/>
          <w:caps w:val="false"/>
          <w:smallCaps w:val="false"/>
          <w:sz w:val="20"/>
          <w:u w:val="single"/>
        </w:rPr>
        <w:t>Disclaimer of Other Representations or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previously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and/or Merger Sub pursuant to this Agreement, the Company makes no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acknowledges and agrees that, except for the representations and warranties of Parent and Merger Sub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Parent and/or Merger Sub to the Company pursuant to this Agreement, neither the Company nor any of its respective Representatives are relying on any other representation or warranty of Parent or any other Person made outside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such certificate, including regarding the accuracy or completeness of any such other representations or warranties or the omission of any material information, whether express or implied, in each case, with respect to the Contemplated Transactions. The Company acknowledges and agrees that Parent and Merger Sub, except for the representations and warranties of Parent and Merger Sub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the Parent or Merger Sub to the Company pursuant to this Agreement, are not making any representation or warranty, express or implied, at Law or in equity, with respect to them or any of their assets, liabilities or operations, and any such other representations or warranties are hereby expressly disclaimed.</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REPRESENTATIONS AND WARRANTIES OF PARENT AND MERGER SUB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8.12(h)</w:t>
      </w:r>
      <w:r>
        <w:rPr>
          <w:rFonts w:ascii="Times New Roman;Times;Serif" w:hAnsi="Times New Roman;Times;Serif"/>
          <w:b w:val="false"/>
          <w:i w:val="false"/>
          <w:caps w:val="false"/>
          <w:smallCaps w:val="false"/>
          <w:sz w:val="20"/>
        </w:rPr>
        <w:t>, except (a) as set forth in the disclosure schedule delivered by Parent to the Company (the “</w:t>
      </w:r>
      <w:r>
        <w:rPr>
          <w:rFonts w:ascii="Times New Roman;Times;Serif" w:hAnsi="Times New Roman;Times;Serif"/>
          <w:b/>
          <w:i/>
          <w:caps w:val="false"/>
          <w:smallCaps w:val="false"/>
          <w:sz w:val="20"/>
        </w:rPr>
        <w:t>Parent Disclosure Schedule</w:t>
      </w:r>
      <w:r>
        <w:rPr>
          <w:rFonts w:ascii="Times New Roman;Times;Serif" w:hAnsi="Times New Roman;Times;Serif"/>
          <w:b w:val="false"/>
          <w:i w:val="false"/>
          <w:caps w:val="false"/>
          <w:smallCaps w:val="false"/>
          <w:sz w:val="20"/>
        </w:rPr>
        <w:t xml:space="preserve">”) or (b) as disclosed in the Parent SEC Documents filed with the SEC after December 31, 2020 and prior to the date hereof and publicly available on the SEC’s Electronic Data Gathering Analysis and Retrieval system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(A) shall not be deemed disclosed for purposes of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and (B) shall be deemed to be disclosed in a section of the Parent Disclosure Schedule only to the extent that it is readily apparent from a reading of such Parent SEC Documents that is applicable to such section of the Parent Disclosure Schedule, Parent and Merger Sub represent and warrant to the Company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Merger Sub is a corporation duly incorporated, validly existing and in good standing under the Laws of the jurisdiction of its incorporation,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its date of incorporation, Merger Sub has not engaged in any activities other than activities incident to its formation or in connection with or as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has no Subsidiaries, except for the Entities identified in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of the Parent Disclosure Schedule; and neither Parent nor any of the Entities identified in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of the Parent Disclosure Schedule owns any capital stock of, or any equity, ownership or profit-sharing interest of any nature in, or controls directly or indirectly, any other Entity other than the Entities identified in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of the Parent Disclosure Schedule. Each of Parent’s Subsidiaries is a corporation or other legal Entity duly organized, validly existing and, if applicable, in good standing under the Laws of the jurisdiction of its organization and has all necessary corporate or other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Parent nor any of its Subsidiaries is or has otherwise been, directly or indirectly, a party to, member of or participant in any partnership, joint venture or similar business Entity. Neither the Parent nor any of its Subsidiaries has agreed or is obligated to make, or is bound by any Contract under which it may become obligated to make, any future investment in or capital contribution to any other Entity. Neither the Parent nor any of its Subsidiaries has, at any time, been a general partner of, or has otherwise been liable for, any of the debts or other obligations of, any general partnership, limited partnership or other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Organizational Documents</w:t>
      </w:r>
      <w:r>
        <w:rPr>
          <w:rFonts w:ascii="Times New Roman;Times;Serif" w:hAnsi="Times New Roman;Times;Serif"/>
          <w:b w:val="false"/>
          <w:i w:val="false"/>
          <w:caps w:val="false"/>
          <w:smallCaps w:val="false"/>
          <w:sz w:val="20"/>
        </w:rPr>
        <w:t>. Parent has made available to the Company accurate and complete copies of the Organizational Documents of Parent and each of its Subsidiaries in effect as of the date of this Agreement. Neither Parent nor any of its Subsidiaries is in breach or violation of its respective Organizational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(including Merger Sub) have all necessary corporate power and authority to enter into and to perform its obligations under this Agreement and, subject, with respect to Parent, to receipt of the Required Parent Stockholder Vote and, with respect to Merger Sub, the adoption of this Agreement by Parent in its capacity as sole stockholder of Merger Sub, to perform its obligations hereunder and to consummate the Contemplated Transactions. The Parent Board (at a meeting duly called and held or by unanimous written consent) has: (i) determined that this Agreement and the Contemplated Transactions are advisable and in the best interests of Parent and its stockholders; (ii) approved and declared advisable this Agreement and the Contemplated Transactions, including the issuance of the Parent Common Stock Payment Shares and the Parent Preferred Stock Payment Shares to the shareholders of the Company pursuant to the terms of this Agreement and the treatment of the Company Options and the Company SAFEs pursuant to this Agreement; and (iii) determined to recommend, upon the terms and subject to the conditions set forth in this Agreement, that the stockholders of the Parent vote to approve the Parent Stockholder Matters at the Parent Stockholders’ Meeting to be convened following the Closing. The Merger Sub Board (by unanimous written consent) has: (A) determined that this Agreement and the Contemplated Transactions are advisable and in the best interests of Merger Sub and its sole stockholder; (B) approved and declared advisable this Agreement and the Contemplated Transactions; (C) directed that this Agreement be submitted to the sole stockholder of Merger Sub for its adoption; and (C) determined to recommend that the sole stockholder of Merger Sub vote in favor of the adoption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subject to the Enforceability Exceptions.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Vote Required</w:t>
      </w:r>
      <w:r>
        <w:rPr>
          <w:rFonts w:ascii="Times New Roman;Times;Serif" w:hAnsi="Times New Roman;Times;Serif"/>
          <w:b w:val="false"/>
          <w:i w:val="false"/>
          <w:caps w:val="false"/>
          <w:smallCaps w:val="false"/>
          <w:sz w:val="20"/>
        </w:rPr>
        <w:t xml:space="preserve">. (i) Other than with respect to the Parent Voting Common Stock Proposal, the affirmative vote of a majority of shares of Parent Voting Common Stock present in person, by remote communication, if applicable, or represented by proxy at the Parent Stockholders’ Meeting and entitled to vote generally on the applicable proposal (other than the Parent Common Stock Payment Shares to be issued at Closing pursuant to this Agreement) and (ii) with respect to the Parent Voting Common Stock Proposal only, the affirmative vote of a majority of the votes cast by holders of shares of Parent Voting Common Stock present in person or represented by proxy at the Parent Stockholders’ Meeting and entitled to vote at the meeting, are the only votes of the holders of any class or series of Parent’s capital stock necessary to approve the proposals described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(together, the “</w:t>
      </w:r>
      <w:r>
        <w:rPr>
          <w:rFonts w:ascii="Times New Roman;Times;Serif" w:hAnsi="Times New Roman;Times;Serif"/>
          <w:b/>
          <w:i/>
          <w:caps w:val="false"/>
          <w:smallCaps w:val="false"/>
          <w:sz w:val="20"/>
        </w:rPr>
        <w:t>Required Parent Stockholder Vote</w:t>
      </w:r>
      <w:r>
        <w:rPr>
          <w:rFonts w:ascii="Times New Roman;Times;Serif" w:hAnsi="Times New Roman;Times;Serif"/>
          <w:b w:val="false"/>
          <w:i w:val="false"/>
          <w:caps w:val="false"/>
          <w:smallCaps w:val="false"/>
          <w:sz w:val="20"/>
        </w:rPr>
        <w:t>”). The approval of holders of Parent Common Stock is not required in order to approve this Agreement or, except with respect to Parent Stockholder Matters, the transactions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Non-Contravention; Consents</w:t>
      </w:r>
      <w:r>
        <w:rPr>
          <w:rFonts w:ascii="Times New Roman;Times;Serif" w:hAnsi="Times New Roman;Times;Serif"/>
          <w:b w:val="false"/>
          <w:i w:val="false"/>
          <w:caps w:val="false"/>
          <w:smallCaps w:val="false"/>
          <w:sz w:val="20"/>
        </w:rPr>
        <w:t>. Subject to obtaining the Required Parent Stockholder Vote and the filing of the Certificate of Merger required by the DGCL and the filing of the Certificate of Designation, neither (x) the execution, delivery or performance of this Agreement by Parent or Merger Sub, nor (y) the consummation of the Contemplated Transactions, will directly or indirectly (with or without notice or lapse of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contravene, conflict with or result in a violation of any of the provisions of the Organizational Documents of Parent or Merger Sub;</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contravene, conflict with or result in a violation of, give any Governmental Body or other Person the right to challenge the Contemplated Transactions or to exercise any remedy or obtain any relief under, any Law or any order, writ, injunction, judgment or decree to which Parent or its Subsidiaries, or any of the assets owned or used by Parent or its Subsidiaries, is subject, except as would not reasonably be expected to be material to Parent or its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be material to Parent or its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contravene, conflict with or result in a violation or breach of, or result in a default under, any provision of any Parent Material Contract, or give any Person the right to: (i) declare a default or exercise any remedy under any Parent Material Contract; (ii)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result in the imposition or creation of any Encumbrance upon or with respect to any asset owned or used by Parent (except for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(i) any Consent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of the Parent Disclosure Schedule under any Parent Contract, (ii) the Required Parent Stockholder Vote, (iii) the filing of the Certificate of Merger with the Secretary of State of the State of Delaware pursuant to the DGCL, and the filing of the Cayman Merger Documents with the Cayman Registrar, (iv) the filing of the Certificate of Designation with the Secretary of State of the State of Delaware pursuant to the DGCL and (v)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Person in connection with (A) the execution, delivery or performance of this Agreement, or (B) the consummation of the Contemplated Transactions. The Parent Board and the Merger Sub Board, have taken and will take all actions necessary to ensure that the restrictions applicable to business combinations contained in Section 203 of the DGCL (or analogous provisions) are, and will be, inapplicable to the execution, delivery and performance of this Agreement, the Parent Stockholder Support Agreements and the Lock-Up Agreements and to the consummation of the Contemplated Transactions. No other state takeover statute or similar Law applies or purports to apply to the Merger, this Agreement or any of the other Contemplated Transactions.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Parent as of the date of this Agreement consists of (i) 490,000,000 shares of Parent Voting Common Stock, 28,079,552 of which have been issued and are outstanding as of the date of this Agreement, (ii) 2,000,000 shares of Parent Non-Voting Common Stock, none of which have been issued and are outstanding as of the date of this Agreement, and (iii) 10,000,000 shares of preferred stock, par value $0.0001 per share, none of which have been issued and are outstanding as of the date of this Agreement. Parent does not hold any shares of its capital stock in its treasury.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shares of Parent Common Stock have been duly authorized and validly issued, and are fully paid and nonassessable. None of the outstanding shares of Parent Common Stock are entitled or subject to any preemptive right, right of participation, right of maintenance or any similar right and none of the outstanding shares of Parent Common Stock is subject to any right of first refusal in favor of Parent. Except as contemplated herein and in the Parent Stockholder Support Agreements and Lock-Up Agreements,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it bound by any Contract pursuant to which it may become obligated, to repurchase, redeem or otherwise acquire any outstanding shares of Parent Common Stock or other securities.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Parent Disclosure Schedule accurately and completely lists all repurchase rights held by Parent with respect to shares of Parent Common Stock (including shares issued pursuant to the exercise of stock options) and specifies which of those repurchase rights are currently exercisable and whether the holder of such shares of Parent Common Stock timely filed an election with the relevant Governmental Bodies under Section 83(b) of the Code with respect to such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for the Parent Stock Plan, Other Stock Plans, and ESPP and except as set forth in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xml:space="preserve"> of the Parent Disclosure Schedule, Parent does not have any stock option plan or any other plan, program, agreement or arrangement providing for any equity-based compensation for any Person. As of the date of this Agreement, 2,015,889 shares were reserved for issuance upon exercise of Parent Options granted under the Parent Stock Plan, Other Stock Plans, and ESPP that are outstanding as of the date of this Agreement, 67,275 shares have been reserved for issuance upon settlement of Parent RSUs granted and currently outstanding under the Parent Stock Plan, Other Stock Plans, and ESPP, 2,099,191 shares remain available for future issuance pursuant to the Parent Stock Plan, Other Stock Plans and ESPP, and 1,962,889 shares have been reserved for issuance upon exercise of Parent Options with (i) an exercise price greater than $3.33, and (ii) an exercise price less than or equal to $3.33 that would not have vested by October 31, 2026 if the applicable grantee was still employed with or engaged to provide services to Parent as of October 31, 2026.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xml:space="preserve"> of the Parent Disclosure Schedule sets forth the following information with respect to each Parent Option, Parent RSU and Parent Warrant outstanding as of the date of this Agreement: (i) the name of the award recipient; (ii) the number of shares of capital stock of Parent subject to such Parent Option, Parent RSU or Parent Warrant, as applicable, at the time of grant; (iii) the number of shares of capital stock of Parent subject to such Parent Option, Parent RSU or Parent Warrant, as applicable, as of the date of this Agreement; (iv) the exercise price of such Parent Option or Parent Warrant, as applicable, as of the date of this Agreement; (v) the date on which such Parent Option, Parent RSU or Parent Warrant, as applicable, was granted; (vi) the applicable vesting schedule, including the number of vested and unvested shares as of the date of this Agreement and any acceleration provisions; and (vii) whether such Parent Option is intended to constitute an “incentive stock option” (as defined in the Code) or a non-qualified stock option. Parent has made available to the Company an accurate and complete copy of the Parent Stock Plan and Other Stock Plans and a form of stock option agreement, form of restricted stock unit agreement and form of warrant that is consistent in all material respects with the stock option agreements, restricted stock unit agreements and warrants evidencing outstanding Parent Options, Parent RSUs and Parent Warrants granted thereunder. Each Parent Option has been granted with an exercise price equal to or greater than fair market value of the underlying Parent Common Stock as of the date of grant and no Parent Option has had its exercise date or grant date “back-dated” or delayed.</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the Parent Options, Parent RSU and Parent Warrants, and as otherwise set forth in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 xml:space="preserve"> of the Parent Disclosure Schedule,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could be reasonably likely to give rise to or provide a basis for the assertion of a claim by any Person to the effect that such Person is entitled to acquire or receive any shares of capital stock or other securities of Parent or any of its Subsidiaries (it being understood that Parent intends to issue prior to (but contingent upon) the Closing restricted stock units to certain employees of the Company identified in the Company Disclosure Schedule). There are no outstanding or authorized stock appreciation, phantom stock, profit participation or other similar rights with respect to Parent or any of its Subsidiaries. In addition, there are no stockholder rights plans (or similar plan commonly referred to as a “poison pill”) or bonds, debentures, notes or other indebtedness of Parent having the right to vote (or convertible into, or exchangeable for, securities having the right to vote) on any matters on which stockholders of Parent may vote.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outstanding shares of Parent Common Stock, Parent Options, Parent RSUs, Parent Warrants and other securities of Parent have been issued and granted in material compliance with (i) the Organizational Documents of Parent in effect as of the relevant time and all applicable securities Laws and other applicable Law, and (ii) all requirements set forth in applicable Contracts, including the Parent Stock Plan and Other Stock Plans. Each Parent Option (A) has an exercise price per share of Parent Common Stock equal to or greater than the fair market value of a share of Parent Common Stock on the date of such grant, (B) has a grant date that is not prior to the date on which the Parent Board or a duly authorized committee thereof actually awarded such Parent Option and (C) qualifies for the Tax and accounting treatment afforded to such Parent Option in Parent’s Tax Returns and financial statements of Parent, respectively.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distributions, dividends, repurchases and redemptions of Parent Common Stock or other equity interests of Parent were undertaken in material compliance with (i) the Organizational Documents of Parent in effect as of the relevant time and all applicable securities Laws and other applicable Laws, and (ii) all requirements set forth in applicable 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or made available to the Company accurate and complete copies of all registration statements, proxy statements, Certifications (as defined below) and other statements, reports, schedules, forms and other documents filed by Parent with the SEC since the Lookback Date (the “</w:t>
      </w:r>
      <w:r>
        <w:rPr>
          <w:rFonts w:ascii="Times New Roman;Times;Serif" w:hAnsi="Times New Roman;Times;Serif"/>
          <w:b/>
          <w:i/>
          <w:caps w:val="false"/>
          <w:smallCaps w:val="false"/>
          <w:sz w:val="20"/>
        </w:rPr>
        <w:t>Parent SEC Documents</w:t>
      </w:r>
      <w:r>
        <w:rPr>
          <w:rFonts w:ascii="Times New Roman;Times;Serif" w:hAnsi="Times New Roman;Times;Serif"/>
          <w:b w:val="false"/>
          <w:i w:val="false"/>
          <w:caps w:val="false"/>
          <w:smallCaps w:val="false"/>
          <w:sz w:val="20"/>
        </w:rPr>
        <w:t xml:space="preserve">”), other than such documents that can be obtained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Since the Lookback Date, material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Times;Serif" w:hAnsi="Times New Roman;Times;Serif"/>
          <w:b/>
          <w:i/>
          <w:caps w:val="false"/>
          <w:smallCaps w:val="false"/>
          <w:sz w:val="20"/>
        </w:rPr>
        <w:t>Certifications</w:t>
      </w:r>
      <w:r>
        <w:rPr>
          <w:rFonts w:ascii="Times New Roman;Times;Serif" w:hAnsi="Times New Roman;Times;Serif"/>
          <w:b w:val="false"/>
          <w:i w:val="false"/>
          <w:caps w:val="false"/>
          <w:smallCaps w:val="false"/>
          <w:sz w:val="20"/>
        </w:rPr>
        <w:t xml:space="preserve">”) 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since the Lookback Date, including all written inquiries, enforcement correspondences, comment letters and responses to such comment letters and responses to such comment letters by or on behalf of Parent except for such comment letters and responses to such comment letters that are publicly accessible through EDGAR. As of the date of this Agreement, there are no outstanding unresolved comments in comment letters received from the SEC or Nasdaq with respect to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the term “file” and variations thereof shall be broadly construed to include any manner in which a document or information is filed, furnished, supplied or otherwise made available to the SEC.</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Parent’s independent registered public accounting firm has at all times since the date it was first engaged by Parent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Since the Lookback Date, through the date of this Agreement, and except as disclosed in </w:t>
      </w:r>
      <w:r>
        <w:rPr>
          <w:rFonts w:ascii="Times New Roman;Times;Serif" w:hAnsi="Times New Roman;Times;Serif"/>
          <w:b w:val="false"/>
          <w:i w:val="false"/>
          <w:caps w:val="false"/>
          <w:smallCaps w:val="false"/>
          <w:sz w:val="20"/>
          <w:u w:val="single"/>
        </w:rPr>
        <w:t>Section 3.7(d)</w:t>
      </w:r>
      <w:r>
        <w:rPr>
          <w:rFonts w:ascii="Times New Roman;Times;Serif" w:hAnsi="Times New Roman;Times;Serif"/>
          <w:b w:val="false"/>
          <w:i w:val="false"/>
          <w:caps w:val="false"/>
          <w:smallCaps w:val="false"/>
          <w:sz w:val="20"/>
        </w:rPr>
        <w:t xml:space="preserve"> of the Parent Disclosure Schedule, Parent has not received any comment letter from the SEC or the staff thereof or any correspondence from officials of Nasdaq or the staff thereof relating to the delisting or maintenance of listing of the Parent Voting Common Stock on Nasdaq. As of the date of this Agreement, Parent has timely responded to all comment letters of the staff of the SEC relating to the Parent SEC Documents, and the SEC has not advised Parent that any final responses are inadequate, insufficient or otherwise non-responsive. Parent will, reasonably promptly following the receipt thereof, make available to the Company any such correspondence sent or received after the date of this Agreement. To the Knowledge of Parent, as of the date of this Agreement, none of the Parent SEC Documents is the subject of an ongoing SEC report or outstanding SEC comment.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Lookback Date,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disclosed in </w:t>
      </w:r>
      <w:r>
        <w:rPr>
          <w:rFonts w:ascii="Times New Roman;Times;Serif" w:hAnsi="Times New Roman;Times;Serif"/>
          <w:b w:val="false"/>
          <w:i w:val="false"/>
          <w:caps w:val="false"/>
          <w:smallCaps w:val="false"/>
          <w:sz w:val="20"/>
          <w:u w:val="single"/>
        </w:rPr>
        <w:t>Section 3.7(f)</w:t>
      </w:r>
      <w:r>
        <w:rPr>
          <w:rFonts w:ascii="Times New Roman;Times;Serif" w:hAnsi="Times New Roman;Times;Serif"/>
          <w:b w:val="false"/>
          <w:i w:val="false"/>
          <w:caps w:val="false"/>
          <w:smallCaps w:val="false"/>
          <w:sz w:val="20"/>
        </w:rPr>
        <w:t xml:space="preserve"> of the Parent Disclosure Schedule, Parent is and since its first date of listing on Nasdaq, has been, in compliance in all material respects with the applicable current listing and governance rules and regulations of Nasdaq.</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Parent maintains and at all times since Lookback Date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2025,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 </w:t>
      </w:r>
      <w:r>
        <w:rPr>
          <w:rFonts w:ascii="Times New Roman;Times;Serif" w:hAnsi="Times New Roman;Times;Serif"/>
          <w:b w:val="false"/>
          <w:i w:val="false"/>
          <w:caps w:val="false"/>
          <w:smallCaps w:val="false"/>
          <w:sz w:val="20"/>
          <w:u w:val="single"/>
        </w:rPr>
        <w:t>Section 3.7(g)</w:t>
      </w:r>
      <w:r>
        <w:rPr>
          <w:rFonts w:ascii="Times New Roman;Times;Serif" w:hAnsi="Times New Roman;Times;Serif"/>
          <w:b w:val="false"/>
          <w:i w:val="false"/>
          <w:caps w:val="false"/>
          <w:smallCaps w:val="false"/>
          <w:sz w:val="20"/>
        </w:rPr>
        <w:t xml:space="preserve"> of the Parent Disclosure Schedule) (A) all material weaknesses and all significant deficiencies, if any, in the design or operation of internal control over financial reporting that are reasonably likely to adversely affect Parent’s ability to record, process, summarize and report financial information and (B) any fraud, whether or not material, that involves Parent, any of its Subsidiaries, Parent’s management or other employees who have a role in the preparation of financial statements or the internal accounting controls utilized by the Parent and its Subsidiaries or (C) any claim or allegation regarding any of the foregoing. Parent has not identified, based on its most recent evaluation of internal control over financial reporting, any significant deficiencies or material weaknesses in the design or operation of Parent’s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 The cash forecast set forth in </w:t>
      </w:r>
      <w:r>
        <w:rPr>
          <w:rFonts w:ascii="Times New Roman;Times;Serif" w:hAnsi="Times New Roman;Times;Serif"/>
          <w:b w:val="false"/>
          <w:i w:val="false"/>
          <w:caps w:val="false"/>
          <w:smallCaps w:val="false"/>
          <w:sz w:val="20"/>
          <w:u w:val="single"/>
        </w:rPr>
        <w:t>Section 3.7(i)</w:t>
      </w:r>
      <w:r>
        <w:rPr>
          <w:rFonts w:ascii="Times New Roman;Times;Serif" w:hAnsi="Times New Roman;Times;Serif"/>
          <w:b w:val="false"/>
          <w:i w:val="false"/>
          <w:caps w:val="false"/>
          <w:smallCaps w:val="false"/>
          <w:sz w:val="20"/>
        </w:rPr>
        <w:t xml:space="preserve"> of the Parent Disclosure Schedule: (i) has been prepared by Parent in good faith, (ii) is based on assumptions that Parent considers to be reasonable, and (iii) fairly reflects Parent’s reasonably anticipated rate of cash usage for the periods covered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Section 3.7(i)</w:t>
      </w:r>
      <w:r>
        <w:rPr>
          <w:rFonts w:ascii="Times New Roman;Times;Serif" w:hAnsi="Times New Roman;Times;Serif"/>
          <w:b w:val="false"/>
          <w:i w:val="false"/>
          <w:caps w:val="false"/>
          <w:smallCaps w:val="false"/>
          <w:sz w:val="20"/>
        </w:rPr>
        <w:t xml:space="preserve"> to the Parent Disclosure Schedule sets forth an accurate statement of Parent’s cash and cash equivalents as of the close of business on the Business Day preceding the date of this Agreement, and there has been no material change in the amount thereof from such statement through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Parent is not currently, and has not been a “shell company” (as defined in Section 12b-2 of the Exchange Act) for at least twelve (12) calendar months prior to the date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of the Parent Disclosure Schedule, after the date of the Parent Balance Sheet, Parent and its Subsidiaries have conducted its business only in the Ordinary Course of Business (except for the execution and performance of this Agreement and the discussions, negotiations and transactions related thereto) and (x) there has not been any Parent Material Adverse Effect and (y) neither Parent nor any of its Subsidiaries has done any of the following: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declared, accrued, set aside or paid any dividend or made any other distribution in respect of any shares of its capital stock or repurchased, redeemed or otherwise reacquired any shares of its capital stock or other securities (except in connection with the payment of the exercise price and/or withholding Taxes incurred upon the exercise, settlement or vesting of any award granted under the Parent Stock Plan and Other Stock Plans);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sold, issued, granted, pledged or otherwise disposed of or encumbered or authorized any of the foregoing with respect to: (i) any capital stock or other security of Parent (except for capital stock of Parent issued upon the valid exercise of outstanding Parent Options or Parent Warrants, or the settlement of a Parent RSU); (ii) any option, warrant or right to acquire any capital stock or any other security, other than option or Parent RSU grants to employees and directors in the Ordinary Course of Business; or (iii) any instrument convertible into or exchangeable for any capital stock or other security of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Merger Sub, formed any Subsidiary or acquired any equity interest or other interest in any other Entity or entered into a joint venture with any other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lent money to any Person (except for the advance of reasonable business expenses to employees, directors and consultants in the Ordinary Course of Business), (ii) incurred or guaranteed any indebtedness for borrowed money, or (iii) guaranteed any debt securities of others;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than as required by applicable Law or the terms of any Parent Benefit Plan as in effect on the date of this Agreement: (i) adopted, terminated, established or entered into any Parent Benefit Plan; (ii) caused any Parent Benefit Plan to be amended in any material respect; (iii) paid any bonus or distributed any profit-sharing account balances or similar payment to, or increased the amount of the wages, salary, commissions, benefits or other compensation or remuneration payable to, any of its directors, officers or employees (other than annual bonuses and wage or salary increases in the Ordinary Course of Business that do not exceed ten percent (10%) of any such employee’s base compensation); (iv) granted or increased any severance, change-of-control, transaction or retention bonus, deferred compensation or similar payments or benefits with respect to any current, former or new employees, directors or consultants or (v) hired, terminated or gave notice of termination (other than for cause) to any (A) officer or (B) employee or other service provider whose annual compensation is or is expected to be more than $100,000 per year;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entered into any collective bargaining agreement or similar agreement with any labor union, or similar labor organization;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entered into any material transaction other than (i) in the Ordinary Course of Business or (ii) in connection with the Contemplated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acquired any material asset or sold, leased or otherwise irrevocably disposed of any of its assets or properties, or granted any Encumbrance (other than a Permitted Encumbrance) with respect to such assets or properties, except in the Ordinary Course of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sold, assigned, transferred, licensed, sublicensed or otherwise disposed of any material Parent IP (other than pursuant to non-exclusive licenses in the Ordinary Course of Business);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made, changed or revoked any material Tax election, failed to pay any income or other Tax as such Tax became due and payable, filed any amendment making any change to any Tax Return, settled or compromised any income or other Tax liability, dispute, audit, investigation, proceeding, claim, or assessment,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Taxes (other than pursuant to an extension of time to file any Tax Return granted in the Ordinary Course of Business of not more than six months), surrendered any right to claim a Tax refund, or adopted or changed any accounting method in respect of Taxes;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made any expenditures, incurred any Liabilities (other than Tax liabilities incurred in the Ordinary Course of Business) or discharged or satisfied any Liabilities, in each case, in amounts that exceed $50,000 individually, or $100,000 in the aggregate, except as reflected in the Parent Interim Financial Statements;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 than as required by Law or GAAP, taken any action to change accounting policies or procedures;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initiated or settled any Legal Proceeding;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agreed, resolved or committed to do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xml:space="preserve">. As of the date hereof, neither Parent nor any of its Subsidiaries has any Liability, individually or in the aggregate, of a type required to be recorded or reflected on a balance sheet or disclosed in the footnotes thereto under GAAP except for: (a) Liabilities disclosed, reflected or reserved against in the Parent Balance Sheet; (b) Liabilities that have been incurred by Parent or its Subsidiaries since the date of the Parent Balance Sheet in the Ordinary Course of Business; (c) Liabilities for performance of obligations of Parent or any of its Subsidiaries under Parent Contracts; (d) Liabilities incurred in connection with the Contemplated Transactions; (e) Liabilities which would not, individually or in the aggregate, reasonably be expected to be material to the Parent; and (f) Liabilities described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i w:val="false"/>
          <w:caps w:val="false"/>
          <w:smallCaps w:val="false"/>
          <w:sz w:val="20"/>
          <w:u w:val="single"/>
        </w:rPr>
        <w:t>Title to Assets</w:t>
      </w:r>
      <w:r>
        <w:rPr>
          <w:rFonts w:ascii="Times New Roman;Times;Serif" w:hAnsi="Times New Roman;Times;Serif"/>
          <w:b w:val="false"/>
          <w:i w:val="false"/>
          <w:caps w:val="false"/>
          <w:smallCaps w:val="false"/>
          <w:sz w:val="20"/>
        </w:rPr>
        <w:t>. Each of Parent and its Subsidiaries owns, and has good and valid title to, or, in the case of leased properties and assets, valid leasehold interests in, all tangible properties or tangible assets and equipment used or held for use in their business or operations or purported to be owned by it that are material to Parent and its Subsidiaries or their business,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Subsidiaries free and clear of any Encumbrances, other than Permitted Encumbrances.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i w:val="false"/>
          <w:caps w:val="false"/>
          <w:smallCaps w:val="false"/>
          <w:sz w:val="20"/>
          <w:u w:val="single"/>
        </w:rPr>
        <w:t>Real Property; Leasehold</w:t>
      </w:r>
      <w:r>
        <w:rPr>
          <w:rFonts w:ascii="Times New Roman;Times;Serif" w:hAnsi="Times New Roman;Times;Serif"/>
          <w:b w:val="false"/>
          <w:i w:val="false"/>
          <w:caps w:val="false"/>
          <w:smallCaps w:val="false"/>
          <w:sz w:val="20"/>
        </w:rPr>
        <w:t>. Neither Parent nor any of its Subsidiaries own or ever have owned any real property. Parent has made available to the Company (a) an accurate and complete list of all real properties with respect to which Parent directly or indirectly holds a valid leasehold interest as well as any other real estate that is in the possession of, or occupied or leased by, Parent or any of its Subsidiaries, and (b) copies of all leases under which any such real property is possessed, occupied or leased (the “</w:t>
      </w:r>
      <w:r>
        <w:rPr>
          <w:rFonts w:ascii="Times New Roman;Times;Serif" w:hAnsi="Times New Roman;Times;Serif"/>
          <w:b/>
          <w:i/>
          <w:caps w:val="false"/>
          <w:smallCaps w:val="false"/>
          <w:sz w:val="20"/>
        </w:rPr>
        <w:t>Parent Real Estate Leases</w:t>
      </w:r>
      <w:r>
        <w:rPr>
          <w:rFonts w:ascii="Times New Roman;Times;Serif" w:hAnsi="Times New Roman;Times;Serif"/>
          <w:b w:val="false"/>
          <w:i w:val="false"/>
          <w:caps w:val="false"/>
          <w:smallCaps w:val="false"/>
          <w:sz w:val="20"/>
        </w:rPr>
        <w:t>”), each of which is in full force and effect, with no existing material default thereunder by Parent or any of its Subsidiaries, or to the Knowledge of Parent, any other party thereto. Parent’s possession, occupancy, lease, use and/or operation of each such leased property conforms to all applicable Laws in all material respects, and Parent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Parent has not received any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xml:space="preserve"> of the Parent Disclosure Schedule identifies as of the date hereof each unexpired patent and patent application owned by the Parent or Subsidiaries, including, with respect to each registration and application: (i) the name of the applicant/registrant, (ii) the jurisdiction of application/registration, and (iii) the application or registration number. To the Knowledge of Parent, each of the patents and patent applications included in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xml:space="preserve"> of the Parent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issued U.S. patent included in the Parent IP is valid and enforceable. The status of each pending patent application of Parent is as indicated in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3.12(b)</w:t>
      </w:r>
      <w:r>
        <w:rPr>
          <w:rFonts w:ascii="Times New Roman;Times;Serif" w:hAnsi="Times New Roman;Times;Serif"/>
          <w:b w:val="false"/>
          <w:i w:val="false"/>
          <w:caps w:val="false"/>
          <w:smallCaps w:val="false"/>
          <w:sz w:val="20"/>
        </w:rPr>
        <w:t xml:space="preserve"> of the Parent Disclosure Schedule, Parent or its Subsidiaries exclusively own and are the sole assignee of all material Intellectual Property Rights owned or purported to be owned by Parent or its Subsidiaries, free and clear of all Encumbrances other than Permitted Encumbrances. To the Knowledge of Parent,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To the Knowledge of Parent, each Parent Associate who has or has had access to Parent’s or any of its Subsidiaries’ trade secrets or material confidential information has signed a valid and enforceable written agreement containing confidentiality provisions protecting such trade secrets and confidential information. Parent has taken commercially reasonable steps to protect and preserve the confidentiality of its trade secrets and confidential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 xml:space="preserve"> of the Parent Disclosure Schedule, to the Knowledge of Parent, no funding, facilities or personnel of any Governmental Body or any university, college, research institute or other educational institution has been used to create Parent IP owned by Parent or its Subsidiaries, except for any such funding or use of facilities or personnel that does not result in such Governmental Body or institution obtaining ownership rights or a license to such Parent IP or the right to receive royalties for the practice of such Parent IP.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 xml:space="preserve"> of the Parent Disclosure Schedule sets forth each license agreement pursuant to which Parent (i) is granted a license under any material Intellectual Property Right owned by any third party that is used by Parent or its Subsidiaries in its business as currently conducted (each a “</w:t>
      </w:r>
      <w:r>
        <w:rPr>
          <w:rFonts w:ascii="Times New Roman;Times;Serif" w:hAnsi="Times New Roman;Times;Serif"/>
          <w:b/>
          <w:i/>
          <w:caps w:val="false"/>
          <w:smallCaps w:val="false"/>
          <w:sz w:val="20"/>
        </w:rPr>
        <w:t>Parent In-bound License</w:t>
      </w:r>
      <w:r>
        <w:rPr>
          <w:rFonts w:ascii="Times New Roman;Times;Serif" w:hAnsi="Times New Roman;Times;Serif"/>
          <w:b w:val="false"/>
          <w:i w:val="false"/>
          <w:caps w:val="false"/>
          <w:smallCaps w:val="false"/>
          <w:sz w:val="20"/>
        </w:rPr>
        <w:t>”) or (ii) grants to any third party a license under any material Parent IP or material Intellectual Property Right licensed to the Parent or its Subsidiaries under a Parent In-bound License (each a “</w:t>
      </w:r>
      <w:r>
        <w:rPr>
          <w:rFonts w:ascii="Times New Roman;Times;Serif" w:hAnsi="Times New Roman;Times;Serif"/>
          <w:b/>
          <w:i/>
          <w:caps w:val="false"/>
          <w:smallCaps w:val="false"/>
          <w:sz w:val="20"/>
        </w:rPr>
        <w:t>Parent Out-bound License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In-bound Licenses shall not include, when entered into in the Ordinary Course of Business, material transfer agreements, services agreements, clinical trial agreements, agreements with Parent Associates, non-disclosure agreements, commercially available Software-as-a-Service offerings, or off-the-shelf software licenses; and Parent Out-bound Licenses shall not include, when entered into in the Ordinary Course of Business, material transfer agreements, clinical trial agreements, services agreements, non-disclosure agreements, or non-exclusive outbound licenses). All Parent In-bound Licenses and Parent Out-bound Licenses are in full force and effect and are valid, enforceable and binding obligations of Parent and, to the Knowledge of Parent, each other party to such Parent In-bound Licenses or Parent Out-bound Licenses. Neither Parent, nor to the Knowledge of Parent, any other party to such Parent In-bound Licenses or Parent Out-bound Licenses, is in material breach under any Parent In-bound Licenses or Parent Out-bound Licenses.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Parent, (i) the operation of the business of Parent and its Subsidiaries as conducted in the prior three (3) years and as currently conducted has not and does not infringe, misappropriate or otherwise violate any Intellectual Property Rights of any other Person and (ii) no other Person is infringing, misappropriating or otherwise violating any Parent IP. No Legal Proceeding is pending (or, to the Knowledge of Parent, is threatened in writing) (A) against Parent or its Subsidiaries alleging that the operation of the business of Parent or its Subsidiaries infringes or constitutes the misappropriation or other violation of any Intellectual Property Rights of another Person or (B) by Parent or its Subsidiaries alleging that another Person has infringed, misappropriated or otherwise violated any of the Parent IP. In the prior three (3) years, neither Parent nor its Subsidiaries have received any written notice or other written communication alleging that the operation of the business of Parent or its Subsidiaries infringes or constitutes the misappropriation or other violation of any Intellectual Property Right of another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Parent IP owned by Parent or its Subsidiaries or, to the Knowledge of Parent, any material Parent IP exclusively licensed to Parent or its Subsidiaries is subject to any pending or outstanding injunction, directive, order, judgment or other disposition of dispute that adversely and materially restricts the use, transfer, registration or licensing by Parent or its Subsidiaries of any such Parent IP.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and the operation of Parent’s and its Subsidiaries’ business are in substantial compliance with all applicable Privacy Requirements. Since the Lookback Date, Parent and its Subsidiaries (i) have not experienced or been affected by a Security Incident, (ii) there have been no material violations of any privacy or security policy of Parent regarding any Sensitive Data used in the business of Parent or its Subsidiaries, and (iii) Parent and its Subsidiaries have not been subject to any litigation or regulatory enforcement actions from any Person or Governmental Body alleging noncompliance with any applicable Privacy Requirements.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has implemented commercially reasonable administrative, physical and technical safeguards, including reasonable disaster recovery and security plans and procedures, to protect the information technology systems used in, material to or necessary for operation of Parent’s and its Subsidiaries’ business as currently conducted (the “</w:t>
      </w:r>
      <w:r>
        <w:rPr>
          <w:rFonts w:ascii="Times New Roman;Times;Serif" w:hAnsi="Times New Roman;Times;Serif"/>
          <w:b/>
          <w:i/>
          <w:caps w:val="false"/>
          <w:smallCaps w:val="false"/>
          <w:sz w:val="20"/>
        </w:rPr>
        <w:t>Parent IT Systems</w:t>
      </w:r>
      <w:r>
        <w:rPr>
          <w:rFonts w:ascii="Times New Roman;Times;Serif" w:hAnsi="Times New Roman;Times;Serif"/>
          <w:b w:val="false"/>
          <w:i w:val="false"/>
          <w:caps w:val="false"/>
          <w:smallCaps w:val="false"/>
          <w:sz w:val="20"/>
        </w:rPr>
        <w:t>”) from Security Incidents. There have been no material malfunctions of the Parent IT Systems and the Parent IT Systems are in good working order. Parent has taken commercially reasonable steps to prevent the introduction into the Parent IT Systems of, and the Parent IT Systems do not contain, any ransomware, malware, disabling codes or instructions or other malicious software routines that permit or cause unauthorized access to, or disruption, impairment, disablement or destruction of, software, data or other materials. Parent and each Subsidiary has conducted commercially reasonable privacy and data security due diligence on all vendors with access to Sensitive Data collected by or on behalf of Parent or its Subsidiaries or to the Parent IT Systems and requires all such vendors to comply with applicable Privacy Requirements and adhere to commercially reasonable data security standards.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are a “covered person” as defined in the Data Security Program. Since April 8, 2025, neither Parent nor any of its Subsidiaries have knowingly engaged in or directed any “covered data transaction” as that term is defined in the Data Security Program, except in compliance with the Data Security Program. Parent maintains policies and procedures reasonably designed to promote compliance with the Data Security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the Parent Disclosure Schedule lists the following Parent Contracts in effect as of the date of this Agreement other than any Parent Benefit Plans (each, a “</w:t>
      </w:r>
      <w:r>
        <w:rPr>
          <w:rFonts w:ascii="Times New Roman;Times;Serif" w:hAnsi="Times New Roman;Times;Serif"/>
          <w:b/>
          <w:i/>
          <w:caps w:val="false"/>
          <w:smallCaps w:val="false"/>
          <w:sz w:val="20"/>
        </w:rPr>
        <w:t>Parent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Parent Material Contracts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Contract as defined in Item 601(b)(10) of Regulation S-K as promulgated under the Securities Act;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Parent Contract relating to any agreement of indemnification or guaranty not entered into in the Ordinary Course of Business;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Parent Contract containing (A) any covenant limiting in any material respect the freedom of Parent or its Subsidiaries to engage in any line of business or compete with any Person, (B) any most-favored pricing arrangement in favor of a Person other than Parent or any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in favor of a Person other than Parent, or (D) any non-solicitation provision not entered into in the Ordinary Course of Business;</w:t>
      </w:r>
    </w:p>
    <w:p>
      <w:pPr>
        <w:pStyle w:val="TextBody"/>
        <w:bidi w:val="0"/>
        <w:spacing w:before="0" w:after="0"/>
        <w:ind w:left="144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Parent Contract relating to capital expenditures and requiring payments after the date of this Agreement in excess of $100,000 pursuant to its express terms and not cancelable without penalty;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Parent Contract relating to the disposition or acquisition of material assets or any ownership interest in any Entity;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Parent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Parent Contract requiring payment by or to Parent after the date of this Agreement in excess of $100,000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has continuing obligations to develop or market any product, technology or service, or any agreement pursuant to which Parent has continuing obligations to develop any Intellectual Property Rights that will not be owned, in whole or in part, by Parent; or (D) any Parent Contract with any third party providing any services relating to the manufacture or production of any product, service or technology of Parent or any Parent Contract to sell, distribute or commercialize any products or service of Parent;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Parent Contract with any financial advisor, broker, finder, investment banker or other similar Person providing financial advisory services to Parent in connection with the Contemplated Transactions;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Parent Real Estate Lease;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Parent Contract with any Governmental Body;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Parent Out-bound License and Parent In-bound License, and each Parent Contract containing a covenant not to sue or otherwise enforce any Intellectual Property Rights;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Parent Contract containing any royalty, dividend or similar arrangement based on the revenues or profits of Parent or its Subsidiaries;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each Parent Contract, offer letter, employment agreement, or independent contractor agreement with any employee or service provider whose annual compensation equals or exceeds $50,000 that (A) is not immediately terminable by Parent without notice, severance, or other cost or liability, except as required under applicable Law, or (B) provides for retention payments, change-of-control payments, severance, accelerated vesting, or any similar payment or benefit that may or will become due as a result of the Merger;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other Contract that is not terminable at will (with no penalty or payment or requirement for prior notice) by Parent or its Subsidiaries, as applicable, and (A) which involves payment or receipt by Parent or its Subsidiaries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each Parent Contract providing any option to receive a license or other right, any right of first negotiation, any right of first refusal or any similar right to any Person related to any material Parent IP or material Intellectual Property Right licensed to Parent under a Parent In-bound License;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each Parent Contract entered into in settlement of any Legal Proceeding or other dispute.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delivered or made available to the Company accurate and complete copies of all Parent Material Contracts, including all amendments thereto. There are no Parent Material Contracts that are not in written form. Neither Parent nor any of its Subsidiaries has,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or its business.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and no Person has indicated in writing to Parent that it desires to renegotiate, modify, not renew or cancel any Parent Material Contract.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i w:val="false"/>
          <w:caps w:val="false"/>
          <w:smallCaps w:val="false"/>
          <w:sz w:val="20"/>
          <w:u w:val="single"/>
        </w:rPr>
        <w:t>Compliance; Permit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its Subsidiaries are, and since the Lookback Date have been, in compliance in all material respects with all applicable Laws, including Healthcare Laws and Regulatory Laws, and any other similar Law administered or promulgated by the FDA or other Drug Regulatory Agency, except for any noncompliance, either individually or in the aggregate, which would not be material to Parent or any Subsidiary.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have timely filed with the applicable regulatory authorities (including, without limitation, the FDA, all Drug Regulatory Agencies, or any other Governmental Body performing functions similar to those performed by the FDA) all material filings, documents, declarations, listings, registrations, reports, statements, amendments, supplements or submissions, including but not limited to adverse event reports, required to be filed by it under applicable Law, including all Regulatory Laws and/or those regarding non-clinical testing, clinical research, establishment registration, drug and device listing, good manufacturing practices, record-keeping, adverse event reporting, and reporting of corrections and removals. All such filings, documents, declarations, listings, registrations, reports, statements, amendments, supplements or submissions were in material compliance with applicable Laws when filed, and no material deficiencies have been asserted by any applicable Governmental Body with respect to any such filings, documents, declarations, listing, registrations, reports, statements, amendments, supplements or submissions. To the Knowledge of the Parent and its Subsidiaries, (i) each such filing was true and correct in all material respects as of the date of submission, or was corrected in or supplemented by a subsequent filing, and (ii) any material and legally necessary or required updates, changes, corrections, amendments, supplements or modifications to such filings have been submitted to the applicable Governmental Body.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or its Subsidiaries hold all required Governmental Authorizations which are material to the operation of the business of Parent or such Subsidiary as currently conducted (the “</w:t>
      </w:r>
      <w:r>
        <w:rPr>
          <w:rFonts w:ascii="Times New Roman;Times;Serif" w:hAnsi="Times New Roman;Times;Serif"/>
          <w:b/>
          <w:i/>
          <w:caps w:val="false"/>
          <w:smallCaps w:val="false"/>
          <w:sz w:val="20"/>
        </w:rPr>
        <w:t>Parent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3.14(c)</w:t>
      </w:r>
      <w:r>
        <w:rPr>
          <w:rFonts w:ascii="Times New Roman;Times;Serif" w:hAnsi="Times New Roman;Times;Serif"/>
          <w:b w:val="false"/>
          <w:i w:val="false"/>
          <w:caps w:val="false"/>
          <w:smallCaps w:val="false"/>
          <w:sz w:val="20"/>
        </w:rPr>
        <w:t xml:space="preserve"> of the Parent Disclosure Schedule identifies each Parent Permit. Each such Parent Permit is valid and in full force and effect, and Parent is in material compliance with the terms of the Parent Permits. No Legal Proceeding is pending or, to the Knowledge of Parent, threatened, which seeks to revoke, limit, suspend, or materially modify any Parent Permit.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proceedings pending or, to the Knowledge of Parent, threatened against Parent or its Subsidiaries with respect to an alleged material violation by Parent or any of its Subsidiaries of any Regulatory Laws or any other similar Law administered or promulgated by any Drug Regulatory Agency. Neither Parent nor any of its Subsidiaries nor any of their respective officers and employees has been or is subject to any enforcement proceedings by the FDA or other Governmental Body and, to the Knowledge of Parent, no such proceedings have been threatened. There has not been and is not now any Form FDA-483 observation, civil, criminal or administrative action, suit, demand, claim, complaint, hearing, investigation, demand letter, warning letter, untitled letter, or proceeding pending or in effect against Parent or any of its Subsidiaries or any of their respective officers and employees, and Parent and its Subsidiaries have no liability for failure to comply with any Regulatory Laws or other similar Laws. There is no act, omission, event, or circumstance of which Parent has Knowledge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any Regulatory Laws or other similar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and each of its Subsidiaries holds all required Governmental Authorizations issuable by any Drug Regulatory Agency necessary or material to the conduct of the business of Parent or such Subsidiary as currently conducted (collectively, the “</w:t>
      </w:r>
      <w:r>
        <w:rPr>
          <w:rFonts w:ascii="Times New Roman;Times;Serif" w:hAnsi="Times New Roman;Times;Serif"/>
          <w:b/>
          <w:i/>
          <w:caps w:val="false"/>
          <w:smallCaps w:val="false"/>
          <w:sz w:val="20"/>
        </w:rPr>
        <w:t>Parent Regulatory Authorizations</w:t>
      </w:r>
      <w:r>
        <w:rPr>
          <w:rFonts w:ascii="Times New Roman;Times;Serif" w:hAnsi="Times New Roman;Times;Serif"/>
          <w:b w:val="false"/>
          <w:i w:val="false"/>
          <w:caps w:val="false"/>
          <w:smallCaps w:val="false"/>
          <w:sz w:val="20"/>
        </w:rPr>
        <w:t>”) and no such Parent Regulatory Authorization has been (i) revoked, withdrawn, suspended, cancelled or terminated or (ii) modified in any adverse manner. There is no basis for believing that such Parent Regulatory Authorizations will not be renewable upon expiration. Parent and each of its Subsidiaries are in compliance in all material respects with the Parent Regulatory Authorizations and have not received any written notice or other written communication or, to the Knowledge of Parent, any other communication from any Drug Regulatory Agency regarding (A) any material violation of or failure to comply materially with any term or requirement of any Parent Regulatory Authorization or (B) any revocation, withdrawal, suspension, cancellation, termination or material modification of any Parent Regulatory Authorization. Parent and each of its Subsidiaries have complied in all material respects with the ICH E9 Guidance for Industry: Statistical Principles for Clinical Trials in the management of the clinical data that have been presented to the Company. To the Knowledge of Parent, there are no facts that would be reasonably likely to result in any warning, untitled or notice of violation letter or Form FDA-483 from the FDA.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its Subsidiaries have, where applicable, timely applied for renewal of all Governmental Authorizations, including Parent Permits and Parent Regulatory Authorizations, and third-party certifications. To the Knowledge of the Parent and its Subsidiaries, there is no reason to believe that the Parent and its Subsidiaries will be unable to renew any such Governmental Authorizations, including Parent Permits and Parent Regulatory Authorizations, and third-party certifications, as and when needed for their continued operation as currently conducted without material expense or delay.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Parent, its Subsidiaries, nor any of the entities that manufacture, process, package, supply for or distribute products or product candidates of the Parent and its Subsidiaries, has voluntarily or involuntarily initiated, conducted or issued, or caused to be initiated, conducted or issued, any recall, field alert, field correction, market withdrawal or replacement, safety alert or other notice or action relating to an alleged lack of safety, efficacy, or regulatory compliance of, or enjoining the manufacture or distribution of, any such products. No facts or circumstances exist that are reasonably likely to cause (i) the recall, market withdrawal or replacement of any product or product candidate of the Parent and its Subsidiaries sold or intended to be sold, (ii) as a result of a regulatory action, a material change in the labeling of any such products or a termination or suspension of the marketing of any such products by the Parent and its Subsidiaries or (iii) the loss, suspension or modification of any currently held third-party certification.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clinical, pre-clinical and other studies and tests conducted by or on behalf of, or sponsored by, Parent or its Subsidiaries, or in which Parent or its Subsidiaries or their respective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all Regulatory Laws, the GCP regulations under 21 C.F.R. Parts 50, 54, 56 and 312 and the GLP regulations under 21 C.F.R. Part 58. No preclinical study or clinical trial conducted by or on behalf of Parent or any of its Subsidiaries has been terminated or suspended prior to completion for safety or noncompliance reasons. Since the Lookback Date, neither Parent nor any of its Subsidiaries has received any notices, correspondence, or other communications from any Drug Regulatory Agency requiring, or to the Knowledge of Parent, threatening to initiate, the termination or suspension of any clinical studies conducted by or on behalf of, or sponsored by, Parent or any of its Subsidiaries or in which Parent or any of its Subsidiaries or their respective current products or product candidates have participated.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is the subject of any pending or, to the Knowledge of Parent, threatened investigation in respect of their respective businesses or products or product candidates pursuant to the FDA’s “Fraud, Untrue Statements of Material Facts, Bribery, and Illegal Gratuities” Final Policy set forth in 56 Fed. Reg. 46191 (September 10, 1991) and any amendments thereto. To the Knowledge of Parent, neither Parent nor any of its Subsidiaries has committed any acts, made any statement, or has not failed to make any statement, in each case in respect of its business or products that would violate the FDA’s “Fraud, Untrue Statements of Material Facts, Bribery, and Illegal Gratuities” Final Policy, and any amendments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Since the Lookback Date, neither Parent, nor any of its Subsidiaries, nor any of their respective officers, directors, employees or, to the Knowledge of Parent, agents has been, is, or is in anticipation of being (based on a conviction by the courts or a finding of fault by a regulatory authority): (i) debarred pursuant to the Generic Drug Enforcement Act of 1992 (21 U.S.C. § 335a), as amended from time to time; (ii) disqualified from participating in clinical trials pursuant to 21 C.F.R. § 312.70, as amended from time to time; (iii) disqualified as a testing facility under 21 C.F.R. Part 58, Subpart K, as amended from time to time; (iv) excluded, debarred or suspended from or otherwise ineligible to participate in a “Federal Health Care Program” as that term is defined in 42 U.S.C. § 1320a-7b(f), including under 42 U.S.C. § 1320a-7 or relevant regulations in 42 C.F.R. Part 1001; (v) assessed or threatened with assessment of civil money penalties pursuant to 42 C.F.R. Part 1003; or (vi) included on the HHS/OIG List of Excluded Individuals/Entities, the General Services Administration’s System for Award Management, or the FDA Debarment List or the FDA Disqualified/Restricted List. Since the Lookback Date, neither Parent, nor any of its Subsidiaries, nor any of their respective officers, directors, employees or, to the Knowledge of Parent, agents has engaged in any activities that are prohibited, or are cause for civil penalties, or grounds for mandatory or permissive exclusion, debarment, or suspension pursuant to any of these authorities. Parent and its Subsidiaries are not using, nor, since the Lookback Date have they ever used, in any capacity any Person that has ever been, or to the Knowledge of Parent, is the subject of a proceeding that could lead to the Persons becoming debarred, excluded, disqualified, restricted or suspended pursuant to any of these authorities.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Since the Lookback Date, Parent and each of its Subsidiaries have materially complied with all applicable Laws relating to patient, medical, individually identifiable health information, including, to the extent applicable, HIPAA. To the extent HIPAA is applicable to Parent or any Subsidiary, such Entity is in material compliance with HIPAA’s requirements: (i) entering into, where required, and complying in all material respects with the terms of all Business Associate Agreements to which Parent or any Subsidiary is a party or otherwise bound; (ii) creating and maintaining written policies and procedures in accordance with HIPAA’s requirements; (iii) providing training to all employees and agents as required under HIPAA; (iv) and implementing security procedures, including physical, technical and administrative safeguards, to protect all Sensitive Information and Protected Health Information stored or transmitted in electronic form. Since the Lookback Date, neither Parent, nor any of its Subsidiaries, has received written notice from the Office for Civil Rights for the U.S. Department of Health and Human Services or any other Governmental Body of any allegation regarding its failure to comply with HIPAA. Since the Lookback Date, neither Parent nor any Subsidiary has received written notice from the Office for Civil Rights for the U.S. Department of Health and Human Services or any other Governmental Body of any allegation regarding its failure to comply with HIPAA. Since the Lookback Date, there has been no successful Security Incident or Breach of Unsecured Protected Health Information. All capitalized terms in this </w:t>
      </w:r>
      <w:r>
        <w:rPr>
          <w:rFonts w:ascii="Times New Roman;Times;Serif" w:hAnsi="Times New Roman;Times;Serif"/>
          <w:b w:val="false"/>
          <w:i w:val="false"/>
          <w:caps w:val="false"/>
          <w:smallCaps w:val="false"/>
          <w:sz w:val="20"/>
          <w:u w:val="single"/>
        </w:rPr>
        <w:t>Section 3.14(k)</w:t>
      </w:r>
      <w:r>
        <w:rPr>
          <w:rFonts w:ascii="Times New Roman;Times;Serif" w:hAnsi="Times New Roman;Times;Serif"/>
          <w:b w:val="false"/>
          <w:i w:val="false"/>
          <w:caps w:val="false"/>
          <w:smallCaps w:val="false"/>
          <w:sz w:val="20"/>
        </w:rPr>
        <w:t xml:space="preserve"> not otherwise defined in this Agreement shall have the meanings set forth under HIPAA.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i w:val="false"/>
          <w:caps w:val="false"/>
          <w:smallCaps w:val="false"/>
          <w:sz w:val="20"/>
          <w:u w:val="single"/>
        </w:rPr>
        <w:t>Legal Proceedings; Orders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disclosed in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of the Parent Disclosure Schedule, as of the date of this Agreement, there is no material pending Legal Proceeding and, to the Knowledge of Parent, no Person has threatened in writing to commence any Legal Proceeding: (i) that involves (A) Parent, (B) any of its Subsidiaries, (C) any Parent Associate (in his or her capacity as such) or (D) any of the material assets owned or used by Parent or its Subsidiaries; or (ii) that challenges, or that would have the effect of preventing, delaying, making illegal or otherwise interfering with, the Contemplated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3.15(b)</w:t>
      </w:r>
      <w:r>
        <w:rPr>
          <w:rFonts w:ascii="Times New Roman;Times;Serif" w:hAnsi="Times New Roman;Times;Serif"/>
          <w:b w:val="false"/>
          <w:i w:val="false"/>
          <w:caps w:val="false"/>
          <w:smallCaps w:val="false"/>
          <w:sz w:val="20"/>
        </w:rPr>
        <w:t xml:space="preserve"> of the Parent Disclosure Schedule, since the Lookback Date through the date of this Agreement, no Legal Proceeding has been pending against Parent that resulted in material liability to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no order, writ, injunction, judgment or decree to which Parent or any of its Subsidiaries, or any of the material assets owned or used by Parent or any of its Subsidiaries, is subject. To the Knowledge of Parent, no officer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i w:val="false"/>
          <w:caps w:val="false"/>
          <w:smallCaps w:val="false"/>
          <w:sz w:val="20"/>
          <w:u w:val="single"/>
        </w:rPr>
        <w:t>Tax Matters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have timely filed all Tax Returns that were required to be filed by or with respect to it under applicable Law. All such Tax Returns are correct and complete in all material respects and have been prepared in compliance with all applicable Law. No claim has ever been made by any Governmental Body in any jurisdiction where Parent or any of its Subsidiaries do not file Tax Returns that Parent or its Subsidiary may be subject to taxation by that jurisdiction.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Parent or any of its Subsidiaries (whether or not shown on any Tax Return) have been fully and timely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date of the Parent Balance Sheet Date, neither Parent nor any of its Subsidiaries has incurred any material Liability for Taxes outside the Ordinary Course of Business.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Taxes that Parent and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material Taxes (other than Taxes not yet due and payable) upon any of the assets of Parent and its Subsidiaries.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a material amount of Taxes with respect to Parent and its Subsidiaries have been claimed, proposed or assessed by any Governmental Body in writing. There are no pending ongoing, or threatened audits, assessments or other actions for or relating to any liability in respect of a material amount of Taxes of Parent and its Subsidiaries. Neither Parent, its Subsidiaries nor any of its predecessors has waived any statute of limitations or agreed to any extension of time with respect to any income or other material Tax assessment or deficiency.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Parent is not and has not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Parent nor any of its Subsidiaries will be required to include or accelerate any item of income in, or exclude or defer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non-U.S. Law) executed on or prior to the Closing Date; (iv) intercompany transaction or excess loss account described in Treasury Regulations under Section 1502 of the Code (or any similar provision of state, local or non-U.S. Law); (v) installment sale or open transaction disposition made on or prior to the Closing Date; (vi) prepaid amount, advance payment or deferred revenue received or accrued on or prior to the Closing Date; (vii) application of Section 367(d) of the Code to any transfer of intangible property on or prior to the Closing Date; (viii) application of Sections 951 or 951A of the Code (or any similar provision of state, local or non-U.S. Law) to any income received or accrued on or prior to the Closing Date; or (ix) election under Section 108(i) of the Code (or any similar provision of state, local or non-U.S. Law). Parent and its Subsidiaries have not made any election under Section 965(h) of the Code.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and its Subsidiaries have no Liability for any material Taxes of any Person (other than Parent and any of its Subsidiaries) under Treasury Regulations Section 1.1502-6 (or any similar provision of state, local, or non-U.S. Law), as a transferee or successor, by Contract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Parent nor any of its Subsidiaries has distributed stock of another Person, or had its stock distributed by another Person, in a transaction that was purported or intended to be governed in whole or in part by Section 355 of the Code or Section 361 of the Code (or any similar provisions of state, local or non-U.S. Law).</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Parent nor any of its Subsidiaries has participated in or been a party to a transaction that, as of the date of this Agreement, constitutes a “reportable transaction” within the meaning of Treasury Regulations Section 1.6011-4(b)(2) (or any similar provision of state, local or non-U.S.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Parent nor any of its Subsidiaries has taken any action (or agreed to take any action) or become aware of any fact that would reasonably be expected to prevent or impede the Merger from qualifying for the Intended Tax Treatment.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Section 3.16(m)</w:t>
      </w:r>
      <w:r>
        <w:rPr>
          <w:rFonts w:ascii="Times New Roman;Times;Serif" w:hAnsi="Times New Roman;Times;Serif"/>
          <w:b w:val="false"/>
          <w:i w:val="false"/>
          <w:caps w:val="false"/>
          <w:smallCaps w:val="false"/>
          <w:sz w:val="20"/>
        </w:rPr>
        <w:t xml:space="preserve"> of the Parent Disclosure Schedule sets forth the entity classification of Parent and each of its Subsidiaries for U.S. federal income Tax purposes. Neither Parent nor any of its Subsidiaries has made an election or taken any other action to change its federal and state income Tax classification from such classification.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 each reference to Parent or any of its Subsidiaries shall be deemed to include any Person that was liquidated into, merged with, or is otherwise a predecessor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3.17(a)</w:t>
      </w:r>
      <w:r>
        <w:rPr>
          <w:rFonts w:ascii="Times New Roman;Times;Serif" w:hAnsi="Times New Roman;Times;Serif"/>
          <w:b w:val="false"/>
          <w:i w:val="false"/>
          <w:caps w:val="false"/>
          <w:smallCaps w:val="false"/>
          <w:sz w:val="20"/>
        </w:rPr>
        <w:t xml:space="preserve"> of the Parent Disclosure Schedule is a list of all material Parent Benefit Plans (except for (x) any individual stock purchase, stock option and other equity compensation agreements which do not deviate from the representative forms of such agreements made available to the Company, and (y) employment agreements and offer letters establishing at-will employment without obligating Parent to make any payment or provide any benefit upon termination of employment other than through a plan, program, policy, arrangement or agreement listed on </w:t>
      </w:r>
      <w:r>
        <w:rPr>
          <w:rFonts w:ascii="Times New Roman;Times;Serif" w:hAnsi="Times New Roman;Times;Serif"/>
          <w:b w:val="false"/>
          <w:i w:val="false"/>
          <w:caps w:val="false"/>
          <w:smallCaps w:val="false"/>
          <w:sz w:val="20"/>
          <w:u w:val="single"/>
        </w:rPr>
        <w:t>Section 3.17(a)</w:t>
      </w:r>
      <w:r>
        <w:rPr>
          <w:rFonts w:ascii="Times New Roman;Times;Serif" w:hAnsi="Times New Roman;Times;Serif"/>
          <w:b w:val="false"/>
          <w:i w:val="false"/>
          <w:caps w:val="false"/>
          <w:smallCaps w:val="false"/>
          <w:sz w:val="20"/>
        </w:rPr>
        <w:t xml:space="preserve"> of the Parent Disclosure Schedule). “</w:t>
      </w:r>
      <w:r>
        <w:rPr>
          <w:rFonts w:ascii="Times New Roman;Times;Serif" w:hAnsi="Times New Roman;Times;Serif"/>
          <w:b/>
          <w:i/>
          <w:caps w:val="false"/>
          <w:smallCaps w:val="false"/>
          <w:sz w:val="20"/>
        </w:rPr>
        <w:t>Parent Benefit Plan</w:t>
      </w:r>
      <w:r>
        <w:rPr>
          <w:rFonts w:ascii="Times New Roman;Times;Serif" w:hAnsi="Times New Roman;Times;Serif"/>
          <w:b w:val="false"/>
          <w:i w:val="false"/>
          <w:caps w:val="false"/>
          <w:smallCaps w:val="false"/>
          <w:sz w:val="20"/>
        </w:rPr>
        <w:t>” means each (i) “employee benefit plan” as defined in Section 3(3) of ERISA, whether or not subject to ERISA, and (ii) other pension, retirement, deferred compensation, excess benefit, profit sharing, bonus, commission, equity or equity-based incentive,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and including any that have been frozen), in each case, sponsored, maintained, administered, contributed to, or required to be contributed to, by Parent or any of its Subsidiaries for the benefit of any current or former employee, director, officer or independent contractor of Parent or any of its Subsidiaries or under which Parent or any of its Subsidiaries has any actual or contingent liability.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applicable with respect to each Parent Benefit Plan, Parent has made available to the Company true and complete copies of (i) each material Parent Benefit Plan, including all amendments thereto, and in the case of an unwritten material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Form 5500 and all schedules thereto), (v) the most recent IRS determination, opinion or advisory letter, (vi) the most recent summary annual reports, nondiscrimination testing reports, actuarial reports, financial statements and trustee reports, and (vii) all notices and filings from the IRS or Department of Labor or other Governmental Body concerning audits, investigations, plan corrections or “prohibited transactions” within the meaning of Section 406 of ERISA or Section 4975 of the Code.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Lookback Date, each Parent Benefit Plan has been maintained, operated and administered in compliance in all material respects with its terms and the applicable provisions of ERISA, the Code and all other Laws. Parent and each of its Subsidiaries and each Parent ERISA Affiliate has complied in all material respects with the applicable provisions of the ACA, and neither Parent nor any of its Subsidiaries or Parent ERISA Affiliates have received, or reasonably expect to receive, any penalty notice with respect to the ACA.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Benefit Plans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Parent, nothing has occurred that would reasonably be expected to materially adversely affect the qualification of such Parent Benefit Plan or the tax exempt status of the related trust.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last six (6) years, neither Parent, any of its Subsidiaries nor any Parent ERISA Affiliate has maintained, established, participated in, contributed to, has been required to contribute to, or has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audits or investigations by any Governmental Body involving any Parent Benefit Plan, and no pending or, to the Knowledge of Parent, threatened claims (except for routine individual claims for benefits payable in the normal operation of the Parent Benefit Plans), suits or proceedings involving any Parent Benefit Plan, or, to the Knowledge of Parent, any fiduciary thereof or service provider thereto, in any case except as would not be reasonably expected to result in material liability to Parent or any of its Subsidiaries. All contributions and premium payments required to have been made under any of the Parent Benefit Plans or by applicable Law (without regard to any waivers granted under Section 412 of the Code), have been timely made and neither Parent nor any of its Subsidiaries has any material liability for any unpaid contributions with respect to any Parent Benefit Plan. Each Parent Benefit Plan may be terminated in accordance with its terms and applicable Law without the imposition of material liability (including any contingent liability) on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nor to the Knowledge of Parent,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material penalty or material liability for a “prohibited transaction” under Section 406 of ERISA or Section 4975 of the Code.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Parent Benefit Plan provides death, medical, dental, vision, life insurance or other welfare benefits beyond termination of service or retirement other than coverage mandated by Law, and neither Parent nor any of its Subsidiaries or any Parent ERISA Affiliates has made a written representation promising the same.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in </w:t>
      </w:r>
      <w:r>
        <w:rPr>
          <w:rFonts w:ascii="Times New Roman;Times;Serif" w:hAnsi="Times New Roman;Times;Serif"/>
          <w:b w:val="false"/>
          <w:i w:val="false"/>
          <w:caps w:val="false"/>
          <w:smallCaps w:val="false"/>
          <w:sz w:val="20"/>
          <w:u w:val="single"/>
        </w:rPr>
        <w:t>Section 3.17(i)</w:t>
      </w:r>
      <w:r>
        <w:rPr>
          <w:rFonts w:ascii="Times New Roman;Times;Serif" w:hAnsi="Times New Roman;Times;Serif"/>
          <w:b w:val="false"/>
          <w:i w:val="false"/>
          <w:caps w:val="false"/>
          <w:smallCaps w:val="false"/>
          <w:sz w:val="20"/>
        </w:rPr>
        <w:t xml:space="preserve"> of the Parent Disclosure Schedule, neither the execution of this Agreement, nor the performance of the Contemplated Transactions (either alone or when combined with the occurrence of any other event, including without limitation, a termination of employment) will: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result in any payment becoming due to any current or former employee, director, officer, or independent contractor of Parent or any Subsidiary thereof pursuant to any Parent Benefit Plan or otherwise,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increase any amount of compensation or benefits otherwise payable under any Parent Benefit Plan or otherwise,</w:t>
      </w:r>
    </w:p>
    <w:p>
      <w:pPr>
        <w:pStyle w:val="TextBody"/>
        <w:bidi w:val="0"/>
        <w:spacing w:before="0" w:after="0"/>
        <w:ind w:left="144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result in the acceleration of the time of payment, funding or vesting of any benefits under any Parent Benefit Plan or otherwise,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require any contribution or payment to fund any obligation under any Parent Benefit Plan or otherwise,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limit the right to merge, amend or terminate any Parent Benefit Plan.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set forth in </w:t>
      </w:r>
      <w:r>
        <w:rPr>
          <w:rFonts w:ascii="Times New Roman;Times;Serif" w:hAnsi="Times New Roman;Times;Serif"/>
          <w:b w:val="false"/>
          <w:i w:val="false"/>
          <w:caps w:val="false"/>
          <w:smallCaps w:val="false"/>
          <w:sz w:val="20"/>
          <w:u w:val="single"/>
        </w:rPr>
        <w:t>Section 3.17(j)</w:t>
      </w:r>
      <w:r>
        <w:rPr>
          <w:rFonts w:ascii="Times New Roman;Times;Serif" w:hAnsi="Times New Roman;Times;Serif"/>
          <w:b w:val="false"/>
          <w:i w:val="false"/>
          <w:caps w:val="false"/>
          <w:smallCaps w:val="false"/>
          <w:sz w:val="20"/>
        </w:rPr>
        <w:t xml:space="preserve"> of the Parent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Code Section 280G) with respect to Parent and its Subsidiaries of any payment or benefit that is or could be characterized as a “parachute payment” (within the meaning of Code Section 280G), determined without regard to the application of Code Section 280G(b)(5).</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Parent Benefit Plan that is a “nonqualified deferred compensation plan” (as defined in Section 409A(d)(1) of the Code) has been operated and administered in compliance with, is and has been in documentary compliance with, Section 409A of the Code, in each case, in all material respects.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current or former employee, officer, director or independent contractor of Parent or any of its Subsidiaries has any “gross up” agreements with the Parent or any of its Subsidiaries or other assurance of reimbursement by the Parent or any of its Subsidiaries for any Taxes imposed under Code Section 409A or Code Section 4999.</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Parent Benefit Plan maintained outside of the United States (each, a “</w:t>
      </w:r>
      <w:r>
        <w:rPr>
          <w:rFonts w:ascii="Times New Roman;Times;Serif" w:hAnsi="Times New Roman;Times;Serif"/>
          <w:b/>
          <w:i/>
          <w:caps w:val="false"/>
          <w:smallCaps w:val="false"/>
          <w:sz w:val="20"/>
        </w:rPr>
        <w:t>Parent Foreign Plan</w:t>
      </w:r>
      <w:r>
        <w:rPr>
          <w:rFonts w:ascii="Times New Roman;Times;Serif" w:hAnsi="Times New Roman;Times;Serif"/>
          <w:b w:val="false"/>
          <w:i w:val="false"/>
          <w:caps w:val="false"/>
          <w:smallCaps w:val="false"/>
          <w:sz w:val="20"/>
        </w:rPr>
        <w:t>”) has obtained from the Governmental Body having jurisdiction with respect to such plan any required determinations that such plan is in compliance with the Laws of any such Governmental Body.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the extent required by applicable Law, the assets of each of the Parent Foreign Plans that is similar to an employee pension benefit plan (as defined in Section 3(2) of ERISA (whether or not subject to ERISA)) or that otherwise provides retirement, medical or life insurance benefits following retirement or other termination of service or employment are at least equal to the liabilities of such plans.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Parent has provided to the Company a true and correct list, as of the date of this Agreement, containing the names of all current full-time or part-time employees and independent contractors (and indication as such), and, as applicable: (i) base compensation (hourly rate or annual salary, as applicable) and target bonus or commission for 2026, if applicable or director’s fees payable to each Person; (ii) dates of employment or service; (iii) title and, with respect to independent contractors, a current written description of such Person’s contracting services; (iv) visa status, if applicable; (v) location in which services are primarily performed (city, state, and country); and (vi) with respect to employees, (A) a designation of whether they are classified as exempt or non-exempt for purposes of FLSA and any similar state, federal or Foreign Law, (B) whether such an employee is on leave, and if so, the nature of such leave and expected return date, and (C) full-time or part-time status.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Parent nor any of its Subsidiaries is or has 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Parent, purporting to represent or seeking to represent any employees of Parent or its Subsidiaries, including through the filing of a petition for representation election. There is not and has not been in the past five years, nor is there or has there been in the past five years any threat of, any strike, slowdown, work stoppage, lockout, union election petition, demand for recognition, or any similar activity or dispute, or, to the Knowledge of Parent, any union organizing activity, against Parent or any of its Subsidiaries.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Parent and each of its Subsidiaries is, and since the Lookback Date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or any of its Subsidiaries, with respect to employees of Parent and its Subsidiaries, each of Parent and its Subsidiaries, since the Lookback Date, has withheld and reported all amounts required by Law to be withheld and reported with respect to wages, salaries and other payments, benefits, or compensation to employees. There are no actions, suits, claims, charges, lawsuits, investigations, audits or administrative matters pending or, to the Knowledge of Parent, threatened or reasonably anticipated against Parent or any of its Subsidiaries relating to any employee, applicant for employment, or consultant.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Within the preceding five years, Parent has not implemented any “plant closing” or “mass layoff” of employees that would reasonably be expected to require notification under the WARN Act or any similar state or local Law, no such “plant closing” or “mass layoff” will be implemented before the Closing Date without advance notification to and approval of the Company, and there has been no “employment loss” as defined by the WARN Act within the 90 days prior to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Since the Lookback Date (i) no allegations of sexual harassment, gender discrimination, sexual assault, or other sexual misconduct have been made by, against or otherwise involving any current or former officer, director, manager, or other supervisory-level employee of Parent or any of its Subsidiaries in connection with such individual’s provision of services to the Parent or any of its Subsidiaries, and (ii) neither Parent nor any of its Subsidiaries has entered into or is a party to any settlement agreement with any Person that involves allegations relating to sexual harassment, gender discrimination, sexual assault or other sexual misconduct by any officer, director, manager, or other supervisory-level employee provider of Parent or any of its Subsidiaries.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Parent and each of its Subsidiaries are in compliance and since the Lookback Date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Neither Parent nor any of its Subsidiaries has received since the Lookback Date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or its business.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or any of its Subsidiaries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by Parent or Merger Sub. Prior to the date hereof, Parent has provided or otherwise made available to the Company true and correct copies of all material environmental reports, assessments, studies and audits in the possession or control of Parent or any of its Subsidiaries with respect to any property leased or controlled by Parent or any of its Subsidiaries or any business operated by it.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as set forth in the Parent SEC Documents filed prior to the date of this Agreement, since June 15, 2026, the date of Parent’s last definitive proxy statement filed with the SEC, no event has occurred that would be required to be reported by Parent pursuant to Item 404 of Regulation S-K.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of the Parent Disclosure Schedule identifies each Person who is (or who may be deemed to be) an Affiliate of Parent as of the date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the Lookback Date, neither Parent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Parent and each of its Subsidiaries has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i w:val="false"/>
          <w:caps w:val="false"/>
          <w:smallCaps w:val="false"/>
          <w:sz w:val="20"/>
          <w:u w:val="single"/>
        </w:rPr>
        <w:t>Opinion of Financial Advisor</w:t>
      </w:r>
      <w:r>
        <w:rPr>
          <w:rFonts w:ascii="Times New Roman;Times;Serif" w:hAnsi="Times New Roman;Times;Serif"/>
          <w:b w:val="false"/>
          <w:i w:val="false"/>
          <w:caps w:val="false"/>
          <w:smallCaps w:val="false"/>
          <w:sz w:val="20"/>
        </w:rPr>
        <w:t>. The Parent Board has received an opinion of H.C. Wainwright &amp; Co., LLC, dated on or about the date of the Agreement, to the effect that, as of the date of such opinion and subject to the assumptions, qualifications, limitations and other matters set forth therein, the Exchange Ratio (as specified in such opinion) is fair, from a financial point of view, to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i w:val="false"/>
          <w:caps w:val="false"/>
          <w:smallCaps w:val="false"/>
          <w:sz w:val="20"/>
          <w:u w:val="single"/>
        </w:rPr>
        <w:t>No Financial Advisors</w:t>
      </w:r>
      <w:r>
        <w:rPr>
          <w:rFonts w:ascii="Times New Roman;Times;Serif" w:hAnsi="Times New Roman;Times;Serif"/>
          <w:b w:val="false"/>
          <w:i w:val="false"/>
          <w:caps w:val="false"/>
          <w:smallCaps w:val="false"/>
          <w:sz w:val="20"/>
        </w:rPr>
        <w:t xml:space="preserve">. No broker, finder or investment banker, other than those set forth in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xml:space="preserve"> of the Parent Disclosure Schedule, is entitled to any brokerage fee, finder’s fee, opinion fee, success fee, transaction fee or other fee or commission in connection with the Contemplated Transactions based upon arrangements made by or on behalf of Parent or any of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i w:val="false"/>
          <w:caps w:val="false"/>
          <w:smallCaps w:val="false"/>
          <w:sz w:val="20"/>
          <w:u w:val="single"/>
        </w:rPr>
        <w:t>Anti-Bribery</w:t>
      </w:r>
      <w:r>
        <w:rPr>
          <w:rFonts w:ascii="Times New Roman;Times;Serif" w:hAnsi="Times New Roman;Times;Serif"/>
          <w:b w:val="false"/>
          <w:i w:val="false"/>
          <w:caps w:val="false"/>
          <w:smallCaps w:val="false"/>
          <w:sz w:val="20"/>
        </w:rPr>
        <w:t>. None of Parent or any of its Subsidiaries nor any of their respective directors, officers, employees or, to Parent’s Knowledge, agents or any other Person acting on its behalf has directly or indirectly made any bribes, rebates, payoffs, influence payments, kickbacks, illegal payments, illegal political contributions, or other payments, in the form of cash, gifts, or otherwise, or taken any other action, in violation of Anti-Bribery Laws. Neither Parent nor any of its Subsidiaries is or has been the subject of any investigation or inquiry by any Governmental Body with respect to potential violations of Anti-Bribery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i w:val="false"/>
          <w:caps w:val="false"/>
          <w:smallCaps w:val="false"/>
          <w:sz w:val="20"/>
          <w:u w:val="single"/>
        </w:rPr>
        <w:t>International Trade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Lookback Date, Parent has not (i) received any written notice alleging a violation of Sanctions Laws that occurred subsequent to Parent’s formation, (ii) been or is currently a Sanctions Target or Sanctioned Person, or has been named to any denied parties list administered by relevant Governmental Bodies, or (iii) violated or been investigated, charged, or convicted of violating any International Trade 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Lookback Date, Parent has not exported goods or services in violation of applicable International Trade Laws—including, but not limited to the Export Administration Regulations (15 C.F.R. §§ 730-774) and International Traffic in Arms Regulations (22 C.F.R. 120-130)—nor engaged in any other transactions, or otherwise dealt, with any Sanctioned Person or Sanctioned Country. Neither Parent nor its Subsidiaries has received any written notice since the Lookback Date alleging either (i) the failure to obtain any material license or authorization required under applicable International Trade Laws governing exports or related dealings, or (ii) an actual or suspected violation of International Trade Laws governing exports or related dealings.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January 8, 2025, Parent has at all times complied with all applicable requirements of the Data Security Program administered by the U.S. Department of Justice, 28 C.F.R. § 202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including restrictions and licensing obligations related to bulk U.S. sensitive personal data or government-related data transfers to any country of concern or covered person as defined therein. Parent has not received any written notice, inquiry, or penalty, from any Governmental Body, alleging that it is in violation of the Data Security Program.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has not (i) imported products produced with forced labor in violation of applicable Law, including but not limited to, products from entities identified pursuant to the Uyghur Forced Labor Prevention Act (UFLPA), nor (ii) imported products or goods for entry into the United States in violation of regulations or standards promulgated or enforced by U.S. Customs and Border Protection.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has at all times since the Lookback Date: (i) obtained, and acted in compliance with, all registrations, licenses, agreements, permits, and all other consents, authorizations, waivers, approvals, and orders required or issued under applicable International Trade Laws; (ii) made, filed, or caused to be filed, all notices, registrations, declarations and filings with any Governmental Body required by applicable International Trade Laws; and (iii) met the requirements of any general or specific licenses, license exceptions, and license exemptions, as required under applicable International Trade Laws in connection with the import, transshipment, export, reexport, release, storage, development, production, testing, maintenance, brokering, or transfer of products, services, software, technology, technical data or other know-how.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has policies and procedures in place, including but not limited to third-party screening software/tools that are reasonably designed to ensure compliance with International Trade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i w:val="false"/>
          <w:caps w:val="false"/>
          <w:smallCaps w:val="false"/>
          <w:sz w:val="20"/>
          <w:u w:val="single"/>
        </w:rPr>
        <w:t>Valid Issuance</w:t>
      </w:r>
      <w:r>
        <w:rPr>
          <w:rFonts w:ascii="Times New Roman;Times;Serif" w:hAnsi="Times New Roman;Times;Serif"/>
          <w:b w:val="false"/>
          <w:i w:val="false"/>
          <w:caps w:val="false"/>
          <w:smallCaps w:val="false"/>
          <w:sz w:val="20"/>
        </w:rPr>
        <w:t>. The Parent Voting Common Stock and Parent Convertible Preferred Stock to be issued in the Merger will, when issued in accordance with the provisions of this Agreement, be validly issued, fully paid and nonassessable. To the Knowledge of Parent as of the date of this Agreement, no “bad actor” disqualifying event described in Rule 506(d)(1)(i)–(viii) of the Securities Act (a “</w:t>
      </w:r>
      <w:r>
        <w:rPr>
          <w:rFonts w:ascii="Times New Roman;Times;Serif" w:hAnsi="Times New Roman;Times;Serif"/>
          <w:b/>
          <w:i/>
          <w:caps w:val="false"/>
          <w:smallCaps w:val="false"/>
          <w:sz w:val="20"/>
        </w:rPr>
        <w:t>Disqualifying Event</w:t>
      </w:r>
      <w:r>
        <w:rPr>
          <w:rFonts w:ascii="Times New Roman;Times;Serif" w:hAnsi="Times New Roman;Times;Serif"/>
          <w:b w:val="false"/>
          <w:i w:val="false"/>
          <w:caps w:val="false"/>
          <w:smallCaps w:val="false"/>
          <w:sz w:val="20"/>
        </w:rPr>
        <w:t>”) is applicable to Parent or, to Parent’s Knowledge, any Parent Covered Person, except for a Disqualifying Event as to which Rule 506(d)(2)(ii)–(iv) or (d)(3) of the Securities Act is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i w:val="false"/>
          <w:caps w:val="false"/>
          <w:smallCaps w:val="false"/>
          <w:sz w:val="20"/>
          <w:u w:val="single"/>
        </w:rPr>
        <w:t>Disclaimer of Other Representations or Warranties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previously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Parent or Merger Sub to the Company pursuant to this Agreement, neither Parent nor Merger Sub makes any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Parent and Merger Sub acknowledges and agrees that, except for the representations and warranties of the Company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or the Merger Sub pursuant to this Agreement, none of Parent or Merger Sub or any of their respective Representatives is relying on any other representation or warranty of the Company or any other Person made outside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such certificates, including regarding the accuracy or completeness of any such other representations or warranties or the omission of any material information, whether express or implied, in each case, with respect to the Contemplated Transactions. Parent and Merger Sub acknowledge and agree that the Company, except for the representations and warranties of the Company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or the Merger Sub pursuant to this Agreement, is not making any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167"/>
        <w:gridCol w:w="8980"/>
      </w:tblGrid>
      <w:tr>
        <w:trPr/>
        <w:tc>
          <w:tcPr>
            <w:tcW w:w="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Section</w:t>
            </w:r>
          </w:p>
        </w:tc>
        <w:tc>
          <w:tcPr>
            <w:tcW w:w="8980" w:type="dxa"/>
            <w:tcBorders/>
            <w:vAlign w:val="center"/>
          </w:tcPr>
          <w:p>
            <w:pPr>
              <w:pStyle w:val="TableContents"/>
              <w:bidi w:val="0"/>
              <w:spacing w:before="0" w:after="283"/>
              <w:jc w:val="left"/>
              <w:rPr/>
            </w:pPr>
            <w:r>
              <w:rPr>
                <w:rFonts w:ascii="Times New Roman;Times;Serif" w:hAnsi="Times New Roman;Times;Serif"/>
                <w:b/>
              </w:rPr>
              <w:t xml:space="preserve">4.  </w:t>
            </w:r>
            <w:r>
              <w:rPr>
                <w:b/>
              </w:rPr>
              <w:t>ADDITIONAL AGREEMENTS OF THE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Company Shareholder Matters; Required Company Shareholder Vote</w:t>
      </w:r>
      <w:r>
        <w:rPr>
          <w:rFonts w:ascii="Times New Roman;Times;Serif" w:hAnsi="Times New Roman;Times;Serif"/>
          <w:b w:val="false"/>
          <w:i w:val="false"/>
          <w:caps w:val="false"/>
          <w:smallCaps w:val="false"/>
          <w:sz w:val="20"/>
        </w:rPr>
        <w: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condition to the execution of this Agreement, the Company shall obtain the Required Company Shareholder Vote and Preferred Consent, being the approvals required by the Company Organizational Documents and the Companies Act, pursuant to which (i) this Agreement, the Plan of Merger and the Contemplated Transactions shall be approved, adopted and authorized (as applicable); and (ii) any other consents or waivers required by the Company Organizational Documents, to consummate this Agreement, the Plan of Merger and the Contemplated Transactions (including the Preferred Consent) shall be provided (such matters described in clauses (i) through (ii), the “</w:t>
      </w:r>
      <w:r>
        <w:rPr>
          <w:rFonts w:ascii="Times New Roman;Times;Serif" w:hAnsi="Times New Roman;Times;Serif"/>
          <w:b/>
          <w:i/>
          <w:caps w:val="false"/>
          <w:smallCaps w:val="false"/>
          <w:sz w:val="20"/>
        </w:rPr>
        <w:t>Company Shareholder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prior to the execution of this Agreement, the Company prepared, and caused to be delivered to the shareholders of the Company a notice of general meeting and proxy (the “</w:t>
      </w:r>
      <w:r>
        <w:rPr>
          <w:rFonts w:ascii="Times New Roman;Times;Serif" w:hAnsi="Times New Roman;Times;Serif"/>
          <w:b/>
          <w:i/>
          <w:caps w:val="false"/>
          <w:smallCaps w:val="false"/>
          <w:sz w:val="20"/>
        </w:rPr>
        <w:t>Notice of Meeting</w:t>
      </w:r>
      <w:r>
        <w:rPr>
          <w:rFonts w:ascii="Times New Roman;Times;Serif" w:hAnsi="Times New Roman;Times;Serif"/>
          <w:b w:val="false"/>
          <w:i w:val="false"/>
          <w:caps w:val="false"/>
          <w:smallCaps w:val="false"/>
          <w:sz w:val="20"/>
        </w:rPr>
        <w:t>”) for the purpose of, among other things, obtaining the approval of the shareholders of the Company for the Company Shareholder Matters (including the Required Company Shareholder Vote and the Preferred Consent for the Plan of Merger) at a general meeting of the shareholders called and held in accordance with the Company’s Organizational Documents and the Companies Act (the “</w:t>
      </w:r>
      <w:r>
        <w:rPr>
          <w:rFonts w:ascii="Times New Roman;Times;Serif" w:hAnsi="Times New Roman;Times;Serif"/>
          <w:b/>
          <w:i/>
          <w:caps w:val="false"/>
          <w:smallCaps w:val="false"/>
          <w:sz w:val="20"/>
        </w:rPr>
        <w:t>Company Shareholder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Parent Stockholders’ Meeting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one hundred twenty (120) days after the Closing Date, Parent shall take all action reasonably necessary to hold a meeting of its stockholders (the “</w:t>
      </w:r>
      <w:r>
        <w:rPr>
          <w:rFonts w:ascii="Times New Roman;Times;Serif" w:hAnsi="Times New Roman;Times;Serif"/>
          <w:b/>
          <w:i/>
          <w:caps w:val="false"/>
          <w:smallCaps w:val="false"/>
          <w:sz w:val="20"/>
        </w:rPr>
        <w:t>Parent Stockholders’ Meeting</w:t>
      </w:r>
      <w:r>
        <w:rPr>
          <w:rFonts w:ascii="Times New Roman;Times;Serif" w:hAnsi="Times New Roman;Times;Serif"/>
          <w:b w:val="false"/>
          <w:i w:val="false"/>
          <w:caps w:val="false"/>
          <w:smallCaps w:val="false"/>
          <w:sz w:val="20"/>
        </w:rPr>
        <w:t>”), and shall include the following proposals for approval by Parent’s stockholders, in addition to all other matters and proposals required by the SEC and the Exchange Act and all regulations promulgated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Preferred Stock Conversion Proposal;</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ratification of the Company Board Designee;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amendment to the certificate of incorporation of Parent to increase the number of authorized shares of Parent Voting Common Stock by an amount sufficient to permit the conversion of all Parent Preferred Stock Payment Shares issued or reserved for issuance pursuant to this Agreement and the PIPE Purchase Agreement into Parent Voting Common Stock in accordance with the terms of the Certificate of Designation (the proposal in this clause (iii) being, the “</w:t>
      </w:r>
      <w:r>
        <w:rPr>
          <w:rFonts w:ascii="Times New Roman;Times;Serif" w:hAnsi="Times New Roman;Times;Serif"/>
          <w:b/>
          <w:i/>
          <w:caps w:val="false"/>
          <w:smallCaps w:val="false"/>
          <w:sz w:val="20"/>
        </w:rPr>
        <w:t>Parent Voting Common Stock Proposal</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matters contemplated by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are referred to as the “</w:t>
      </w:r>
      <w:r>
        <w:rPr>
          <w:rFonts w:ascii="Times New Roman;Times;Serif" w:hAnsi="Times New Roman;Times;Serif"/>
          <w:b/>
          <w:i/>
          <w:caps w:val="false"/>
          <w:smallCaps w:val="false"/>
          <w:sz w:val="20"/>
        </w:rPr>
        <w:t>Parent Stockholder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prepare and file with the SEC a form of preliminary proxy statement, and after completion of the relevant review periods and satisfaction of any comments from the SEC, mail a proxy statement to the holders of Parent Voting Common Stock in advance of the Parent Stockholders’ Meeting to seek approval of the Parent Stockholder Matters. If the approval of the Parent Stockholder Matters is not obtained at the Parent Stockholders’ Meeting or if on a date preceding the Parent Stockholders’ Meeting, Parent reasonably believes that (i) it will not receive proxies sufficient to obtain the Required Parent Stockholder Vote, whether or not quorum would be present or (ii) it will not have sufficient shares of Parent Voting Common Stock represented (whether in person or by proxy) to constitute a quorum necessary to conduct the business of the Parent Stockholders’ Meeting, then, in each case, Parent will use its reasonable best efforts to adjourn the Parent Stockholders’ Meeting one or more times to a date or dates no more than 30 days after the scheduled date for such meeting, and to obtain such approvals at such time. If the Parent Stockholders’ Meeting is not so adjourned, and/or if the approval of the Parent Stockholder Matters is not then obtained, Parent will use its reasonable best efforts to obtain such approvals as soon as practicable thereafter, and in any event to obtain such approvals at the next occurring annual meeting of the stockholders of Parent or, if such annual meeting is not scheduled to be held within six months after the Parent Stockholders’ Meeting, a special meeting of the stockholders of Parent to be held within six months after the Parent Stockholders’ Meeting. Parent will hold an annual meeting or special meeting of its stockholders, at which a vote of the stockholders of Parent to approve the Parent Stockholder Matters will be solicited and taken, at least once every six months until Parent obtains approval of the Parent Stockholder Matters.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agrees that: (i) the Parent Board shall recommend that the holders of Parent Voting Common Stock vote to approve the Parent Stockholder Matters and shall use its reasonable best efforts and take all necessary action (which shall include hiring a proxy solicitation firm to solicit proxies for the Parent Stockholders’ Meeting) to solicit and obtain such approval within the time frames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and (ii) the Proxy Statement shall include a statement to the effect that the Parent Board recommends that the Parent’s stockholders vote to approve the Parent Stockholder Matters;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obligated to file the Proxy Statement unless and until the Company’s audited financial statements for fiscal year 2024 and 2025, as well as quarterly financials for 2026, have been delivered to Parent. The Company and Parent acknowledge that, under the Nasdaq rules, the Parent Common Stock Payment Shares and the Parent Preferred Stock Payment Shares will not be entitled to vote on the Preferred Stock Conversion Proposal.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Reservation of Parent Voting Common Stock; Issuance of Shares of Parent Common Stock</w:t>
      </w:r>
      <w:r>
        <w:rPr>
          <w:rFonts w:ascii="Times New Roman;Times;Serif" w:hAnsi="Times New Roman;Times;Serif"/>
          <w:b w:val="false"/>
          <w:i w:val="false"/>
          <w:caps w:val="false"/>
          <w:smallCaps w:val="false"/>
          <w:sz w:val="20"/>
        </w:rPr>
        <w:t>. For as long as any Parent Preferred Stock Payment Shares remain outstanding, but subject to receipt of Parent stockholder approval of the Parent Voting Common Stock Proposal and the filing of an amendment to Parent’s certificate of incorporation to implement the Parent Voting Common Stock Proposal with the office of the Secretary of State of the State of Delaware, Parent shall at all times reserve and keep available, free from preemptive rights, out of its authorized but unissued Parent Voting Common Stock or shares of Parent Voting Common Stock held in treasury by Parent, for the purpose of effecting the conversion of the Parent Preferred Stock Payment Shares, the full number of shares of Parent Voting Common Stock then issuable upon the conversion of all Parent Preferred Stock Payment Shares then outstanding. Subject to receipt of Parent stockholder approval of the Parent Voting Common Stock Proposal and the filing of an amendment to Parent’s certificate of incorporation to implement the Parent Voting Common Stock Proposal with the office of the Secretary of State of the State of Delaware, all shares of Parent Voting Common Stock delivered upon conversion of the Parent Preferred Stock Payment Shares shall be newly issued shares or shares held in treasury by Parent, shall have been duly authorized and validly issued and shall be fully paid and nonassessable, and shall be free from preemptive rights and free of any Encumbrance.</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u w:val="single"/>
        </w:rPr>
        <w:t>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vesting, eligibility to participate, and level of benefits (other than for purposes of determining awards under an equity incentive plan or accrued benefits under any defined benefit pension plan) under the benefit plans, programs, contracts or arrangements of Parent or any of its Subsidiaries (including, following the Closing, the Surviving Corporation and its Subsidiaries) (the “</w:t>
      </w:r>
      <w:r>
        <w:rPr>
          <w:rFonts w:ascii="Times New Roman;Times;Serif" w:hAnsi="Times New Roman;Times;Serif"/>
          <w:b/>
          <w:i/>
          <w:caps w:val="false"/>
          <w:smallCaps w:val="false"/>
          <w:sz w:val="20"/>
        </w:rPr>
        <w:t>Post-Closing Plans</w:t>
      </w:r>
      <w:r>
        <w:rPr>
          <w:rFonts w:ascii="Times New Roman;Times;Serif" w:hAnsi="Times New Roman;Times;Serif"/>
          <w:b w:val="false"/>
          <w:i w:val="false"/>
          <w:caps w:val="false"/>
          <w:smallCaps w:val="false"/>
          <w:sz w:val="20"/>
        </w:rPr>
        <w:t>”), Parent shall use reasonable best efforts to cause each employee who remains employed by Parent or the Surviving Corporation, or any of their respective Subsidiaries following the Closing (which, for the avoidance of doubt, will be all employees of Parent), (together, the “</w:t>
      </w:r>
      <w:r>
        <w:rPr>
          <w:rFonts w:ascii="Times New Roman;Times;Serif" w:hAnsi="Times New Roman;Times;Serif"/>
          <w:b/>
          <w:i/>
          <w:caps w:val="false"/>
          <w:smallCaps w:val="false"/>
          <w:sz w:val="20"/>
        </w:rPr>
        <w:t>Continuing Employees</w:t>
      </w:r>
      <w:r>
        <w:rPr>
          <w:rFonts w:ascii="Times New Roman;Times;Serif" w:hAnsi="Times New Roman;Times;Serif"/>
          <w:b w:val="false"/>
          <w:i w:val="false"/>
          <w:caps w:val="false"/>
          <w:smallCaps w:val="false"/>
          <w:sz w:val="20"/>
        </w:rPr>
        <w:t xml:space="preserve">”) to be credited with his or her years of service with Parent, the Company or any of their respective Subsidiaries and their respective predecessors;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the extent that its application would result in a duplication of benefits. In addition, and without limiting the generality of the foregoing, for purposes of each Post-Closing Plan providing medical, dental, pharmaceutical and/or vision benefits to a Continuing Employee, Parent shall use reasonable best efforts to cause all pre-existing condition exclusions and actively-at-work requirements of such Post-Closing Plan to be waived for such Continuing Employee and his or her covered dependents to the extent and unless such conditions would have been waived or satisfied under the employee benefit plan whose coverage is being replaced under the Post-Closing Plan, and Parent shall use reasonable best efforts to cause any eligible expenses incurred by a Continuing Employee and his or her covered dependents during the portion of such plan year in which coverage is replaced with coverage under a Post-Closing Plan to be taken into account under such Post-Closing Plan with respect to the plan year in which participation in such Post-Closing Plan begins for purposes of satisfying all deductible, coinsurance and maximum out-of-pocket requirements applicable to such Continuing Employee and his or her covered dependents for such plan year as if such amounts had been paid in accordance with such Post-Closing Plan. For employees of Parent who are not Continuing Employees and who are entitled to severance under their applicable employment agreements, Parent shall accrue, prior to the Closing, for medical, dental, pharmaceutical and/or vision benefits for such employees, if the provider of such benefits is under an individual plan.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provided below, Parent covenants and agrees to (i) retain, and not terminate, all Continuing Employees at their salary level as in effect as of immediately prior to the Effective Time for a period of twelve (12) months following the Closing Date and, (ii) honor all severance commitments of Parent in effect as of immediately prior to the Effective Time that pertain to the Continuing Employees.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provisions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are for the sole benefit of Parent and the Company and no provision of this Agreement shall (i) create any third-party beneficiary or other rights in any Person, including rights in respect of any benefits that may be provided, directly or indirectly, under any Company Benefit Plan, Parent Benefit Plan or Post-Closing Plan or rights to continued employment or service with the Company or the Parent (or any Subsidiary thereof), (ii) be construed as an amendment, waiver or creation of or limitation on the ability to terminate any Company Benefit Plan, Parent Benefit Plan or Post-Closing Plan, or (iii) limit the ability of the Parent to terminate the employment of any Continuing Employee.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u w:val="single"/>
        </w:rPr>
        <w:t>Indemnification of Officers and Directors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Effective Time through the sixth anniversary of the date on which the Effective Time occurs, each of Parent and the Surviving Corporation shall indemnify and hold harmless each Person who is now, or has been at any time prior to the date hereof, or who becomes prior to the Effective Time, a director or officer of the Company or any of their respective Subsidiaries, respectively (the “</w:t>
      </w:r>
      <w:r>
        <w:rPr>
          <w:rFonts w:ascii="Times New Roman;Times;Serif" w:hAnsi="Times New Roman;Times;Serif"/>
          <w:b/>
          <w:i/>
          <w:caps w:val="false"/>
          <w:smallCaps w:val="false"/>
          <w:sz w:val="20"/>
        </w:rPr>
        <w:t>D&amp;O Indemnified Parties</w:t>
      </w:r>
      <w:r>
        <w:rPr>
          <w:rFonts w:ascii="Times New Roman;Times;Serif" w:hAnsi="Times New Roman;Times;Serif"/>
          <w:b w:val="false"/>
          <w:i w:val="false"/>
          <w:caps w:val="false"/>
          <w:smallCaps w:val="false"/>
          <w:sz w:val="20"/>
        </w:rPr>
        <w:t>”), against all claims, losses, liabilities, damages, judgments, fines and reasonable fees, costs and expenses, including attorneys’ fees and disbursements (collectively, “</w:t>
      </w:r>
      <w:r>
        <w:rPr>
          <w:rFonts w:ascii="Times New Roman;Times;Serif" w:hAnsi="Times New Roman;Times;Serif"/>
          <w:b/>
          <w:i/>
          <w:caps w:val="false"/>
          <w:smallCaps w:val="false"/>
          <w:sz w:val="20"/>
        </w:rPr>
        <w:t>Costs</w:t>
      </w:r>
      <w:r>
        <w:rPr>
          <w:rFonts w:ascii="Times New Roman;Times;Serif" w:hAnsi="Times New Roman;Times;Serif"/>
          <w:b w:val="false"/>
          <w:i w:val="false"/>
          <w:caps w:val="false"/>
          <w:smallCaps w:val="false"/>
          <w:sz w:val="20"/>
        </w:rPr>
        <w:t xml:space="preserve">”), incurred in connection with any claim, action, suit, proceeding or investigation, whether civil, criminal, administrative or investigative, arising out of or pertaining to the fact that the D&amp;O Indemnified Party is or was a director or officer of the Company, or any Subsidiary thereof, asserted or claimed prior to the Effective Time, in each case, to the fullest extent permitted under applicable Law. Each D&amp;O Indemnified Party will be entitled to advancement of expenses incurred in the defense of any such claim, action, suit, proceeding or investigation from each of Parent and the Surviving Corporation, jointly and severally, upon receipt by Parent or the Surviving Corporation from the D&amp;O Indemnified Party of a request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Person to whom expenses are advanced provides an undertaking to the Surviving Corporation, to the extent then required by the DGCL, to repay such advances if it is ultimately determined that such Person is not entitled to indemnification.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years from the Effective Time in a manner that would adversely affect the rights thereunder of individuals who, at or prior to the Effective Time, were officers or directors of Parent, unless such modification is required by applicable Law. 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Effective Time, Parent shall continue to maintain directors’ and officers’ liability insurance policies, with an effective date as of the Closing Date, on commercially available terms and conditions and with coverage limits customary for U.S. public companies similarly situated to Parent. From and after the Effective Time, Parent shall pay all expenses, including reasonable attorneys’ fees, that are incurred by the Persons referred to in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in connection with their successful enforcement of the rights provided to such Persons in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Parent shall cause the Surviving Corporation to perform all of the obligations of the Surviving Corporation under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i w:val="false"/>
          <w:caps w:val="false"/>
          <w:smallCaps w:val="false"/>
          <w:sz w:val="20"/>
          <w:u w:val="single"/>
        </w:rPr>
        <w:t>Additional Agreements</w:t>
      </w:r>
      <w:r>
        <w:rPr>
          <w:rFonts w:ascii="Times New Roman;Times;Serif" w:hAnsi="Times New Roman;Times;Serif"/>
          <w:b w:val="false"/>
          <w:i w:val="false"/>
          <w:caps w:val="false"/>
          <w:smallCaps w:val="false"/>
          <w:sz w:val="20"/>
        </w:rPr>
        <w:t>. The Parties shall use reasonable best efforts to cause to be taken all actions necessary to consummate the Contemplated Transactions. Without limiting the generality of the foregoing, each Party to this Agreement: (i) shall make all filings and other submissions (if any) and give all notices (if any) required to be made and given by such Party in connection with the Contemplated Transactions; (ii) shall use reasonable best efforts to obtain each Consent (if any) reasonably required to be obtained (pursuant to any applicable Law or Contract, or otherwise) by such Party in connection with the Contemplated Transactions or for such Contract to remain in full force and effect; (iii) shall use reasonable best efforts to lift any injunction prohibiting, or any other legal bar to, the Contemplated Transactions; and (iv) shall use reasonable best efforts to satisfy the conditions precedent to the consummation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i w:val="false"/>
          <w:caps w:val="false"/>
          <w:smallCaps w:val="false"/>
          <w:sz w:val="20"/>
          <w:u w:val="single"/>
        </w:rPr>
        <w:t>Proxy Statement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Closing Date (but not later than ninety (90) days after the Closing Date or such later date as may be unanimously agreed to by the Parent Board), Parent shall file with the SEC a proxy statement relating to the Parent Stockholders’ Meeting to be held in connection with the Parent Stockholder Matters (together with any amendments thereof or supplements thereto, the “</w:t>
      </w:r>
      <w:r>
        <w:rPr>
          <w:rFonts w:ascii="Times New Roman;Times;Serif" w:hAnsi="Times New Roman;Times;Serif"/>
          <w:b/>
          <w:i/>
          <w:caps w:val="false"/>
          <w:smallCaps w:val="false"/>
          <w:sz w:val="20"/>
        </w:rPr>
        <w:t>Proxy Statement</w:t>
      </w:r>
      <w:r>
        <w:rPr>
          <w:rFonts w:ascii="Times New Roman;Times;Serif" w:hAnsi="Times New Roman;Times;Serif"/>
          <w:b w:val="false"/>
          <w:i w:val="false"/>
          <w:caps w:val="false"/>
          <w:smallCaps w:val="false"/>
          <w:sz w:val="20"/>
        </w:rPr>
        <w:t>”). Parent shall (i) cause the Proxy Statement to comply with all applicable rules and regulations promulgated by the SEC and (ii) respond promptly to any comments or requests of the SEC or its staff related to the Proxy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Proxy Statement (and the letters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Parent, Merger Sub or the Surviving Corporation become aware of any event or information that, pursuant to the Securities Act or the Exchange Act, should be disclosed in an amendment or supplement to the Proxy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shall reasonably cooperate and consult with each other and provide, and shall use reasonable best efforts to cause their respective Representatives to provide, the other Party and its Representatives, with all true, correct and complete information regarding such Party that is required by Law to be included in the Proxy Statement or reasonably requested by the other Party to be included in the Proxy Statement. If at any time the information provided in Proxy Statement has or will become “stale” and new information should, as determined by Parent acting reasonably, be disclosed in an amendment or supplement to the Proxy Statement, then Parent shall promptly inform the Company thereof and each such Party shall cooperate and consult with one another, and shall use reasonable best efforts to cause their accounting and other outside professionals to so cooperate and consult, (i) in providing the financial reporting necessary for such filing and (ii) in filing such amendment or supplement with the SEC (and, if related to the Proxy Statement, mailing such amendment or supplement to the Parent stockholders).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i w:val="false"/>
          <w:caps w:val="false"/>
          <w:smallCaps w:val="false"/>
          <w:sz w:val="20"/>
          <w:u w:val="single"/>
        </w:rPr>
        <w:t>Listing</w:t>
      </w:r>
      <w:r>
        <w:rPr>
          <w:rFonts w:ascii="Times New Roman;Times;Serif" w:hAnsi="Times New Roman;Times;Serif"/>
          <w:b w:val="false"/>
          <w:i w:val="false"/>
          <w:caps w:val="false"/>
          <w:smallCaps w:val="false"/>
          <w:sz w:val="20"/>
        </w:rPr>
        <w:t>. Prior to the Effective Time, Parent shall prepare and submit to Nasdaq a Listing of Additional Shares Notification Form (the “</w:t>
      </w:r>
      <w:r>
        <w:rPr>
          <w:rFonts w:ascii="Times New Roman;Times;Serif" w:hAnsi="Times New Roman;Times;Serif"/>
          <w:b/>
          <w:i/>
          <w:caps w:val="false"/>
          <w:smallCaps w:val="false"/>
          <w:sz w:val="20"/>
        </w:rPr>
        <w:t>LAS Notification</w:t>
      </w:r>
      <w:r>
        <w:rPr>
          <w:rFonts w:ascii="Times New Roman;Times;Serif" w:hAnsi="Times New Roman;Times;Serif"/>
          <w:b w:val="false"/>
          <w:i w:val="false"/>
          <w:caps w:val="false"/>
          <w:smallCaps w:val="false"/>
          <w:sz w:val="20"/>
        </w:rPr>
        <w:t xml:space="preserve">”) regarding the shares of Parent Common Stock Payment Shares and the Parent Voting Common Stock to be issued upon conversion of the Parent Preferred Stock Payment Shares to be issued in connection with the Contemplated Transactions. The Parties will use reasonable best efforts to coordinate with respect to compliance with Nasdaq rules and regulations. Each Party will promptly inform the other Party of all verbal or written communications between Nasdaq and such Party or its representatives. The Company will cooperate with Parent as reasonably requested by Parent with respect to the LAS Notification and promptly furnish to Parent all information concerning the Company and its stockholders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i w:val="false"/>
          <w:caps w:val="false"/>
          <w:smallCaps w:val="false"/>
          <w:sz w:val="20"/>
          <w:u w:val="single"/>
        </w:rPr>
        <w:t>4.8</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U.S. federal income Tax purposes, (i) the Parties intend that the Merger qualify as a “reorganization” within the meaning of Section 368(a)(1)(A) and Section 368(a)(2)(D) of the Code (the “</w:t>
      </w:r>
      <w:r>
        <w:rPr>
          <w:rFonts w:ascii="Times New Roman;Times;Serif" w:hAnsi="Times New Roman;Times;Serif"/>
          <w:b/>
          <w:i/>
          <w:caps w:val="false"/>
          <w:smallCaps w:val="false"/>
          <w:sz w:val="20"/>
        </w:rPr>
        <w:t>Intended Tax Treatment</w:t>
      </w:r>
      <w:r>
        <w:rPr>
          <w:rFonts w:ascii="Times New Roman;Times;Serif" w:hAnsi="Times New Roman;Times;Serif"/>
          <w:b w:val="false"/>
          <w:i w:val="false"/>
          <w:caps w:val="false"/>
          <w:smallCaps w:val="false"/>
          <w:sz w:val="20"/>
        </w:rPr>
        <w:t>”), and (ii) this Agreement is intended to be, and is hereby adopted as, a “plan of reorganization” for purposes of Sections 354 and 361 of the Code and Treasury Regulations Sections 1.368-2(g) and 1.368-3(a), to which the Parent, Merger Sub and the Company are parties under Section 368(b) of the Code. The Parties shall treat and shall not take any Tax reporting position (including during the course of any audit, litigation or other proceeding with respect to Taxes) inconsistent with the treatment of the Merger as a reorganization within the meaning of 368(a)(1)(A) and Section 368(a)(2)(D) of the Code for U.S. federal, state and local income Tax purposes, unless otherwise required pursuant to a “determination” within the meaning of Section 1313(a) of the Code (and any other similar applicable state, non-U.S. or other relevant Tax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shall (and shall cause their Affiliates to) use their respective reasonable best efforts to cause the Merger to qualify, and will not take any action or cause any action to be taken, or fail to take or cause any action to be taken, which action or failure to act would reasonably be expected to prevent the Merger from qualifying, for the Intended Tax Treatment.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i w:val="false"/>
          <w:caps w:val="false"/>
          <w:smallCaps w:val="false"/>
          <w:sz w:val="20"/>
          <w:u w:val="single"/>
        </w:rPr>
        <w:t>Legends</w:t>
      </w:r>
      <w:r>
        <w:rPr>
          <w:rFonts w:ascii="Times New Roman;Times;Serif" w:hAnsi="Times New Roman;Times;Serif"/>
          <w:b w:val="false"/>
          <w:i w:val="false"/>
          <w:caps w:val="false"/>
          <w:smallCaps w:val="false"/>
          <w:sz w:val="20"/>
        </w:rPr>
        <w:t xml:space="preserve">. Parent shall be entitled to place appropriate legends, including the legend noted in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on the book entries and/or certificates evidencing any Parent Preferred Stock Payment Shares or Parent Preferred Stock Payment Shares to be received in the Merger by equity holders of the Company and to issue appropriate stop transfer instructions to the transfer agent for Parent Voting Common Stock and Parent Convertible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i w:val="false"/>
          <w:caps w:val="false"/>
          <w:smallCaps w:val="false"/>
          <w:sz w:val="20"/>
          <w:u w:val="single"/>
        </w:rPr>
        <w:t>Directors and Officers</w:t>
      </w:r>
      <w:r>
        <w:rPr>
          <w:rFonts w:ascii="Times New Roman;Times;Serif" w:hAnsi="Times New Roman;Times;Serif"/>
          <w:b w:val="false"/>
          <w:i w:val="false"/>
          <w:caps w:val="false"/>
          <w:smallCaps w:val="false"/>
          <w:sz w:val="20"/>
        </w:rPr>
        <w:t xml:space="preserve">. The Parties shall take all necessary action so that immediately after the Effective Time, (i) the Parent Board is comprised of six (6) members, with five (5) of such members being current board members of Parent as of the Effective Time and one (1) of such members being the designee of the Company listed in </w:t>
      </w:r>
      <w:r>
        <w:rPr>
          <w:rFonts w:ascii="Times New Roman;Times;Serif" w:hAnsi="Times New Roman;Times;Serif"/>
          <w:b/>
          <w:i w:val="false"/>
          <w:caps w:val="false"/>
          <w:smallCaps w:val="false"/>
          <w:sz w:val="20"/>
        </w:rPr>
        <w:t xml:space="preserve">Exhibit G </w:t>
      </w:r>
      <w:r>
        <w:rPr>
          <w:rFonts w:ascii="Times New Roman;Times;Serif" w:hAnsi="Times New Roman;Times;Serif"/>
          <w:b w:val="false"/>
          <w:i w:val="false"/>
          <w:caps w:val="false"/>
          <w:smallCaps w:val="false"/>
          <w:sz w:val="20"/>
        </w:rPr>
        <w:t>under the heading “Parent Board Designee - Company” (such designee of the Company, the “</w:t>
      </w:r>
      <w:r>
        <w:rPr>
          <w:rFonts w:ascii="Times New Roman;Times;Serif" w:hAnsi="Times New Roman;Times;Serif"/>
          <w:b/>
          <w:i/>
          <w:caps w:val="false"/>
          <w:smallCaps w:val="false"/>
          <w:sz w:val="20"/>
        </w:rPr>
        <w:t>Company Board Designee</w:t>
      </w:r>
      <w:r>
        <w:rPr>
          <w:rFonts w:ascii="Times New Roman;Times;Serif" w:hAnsi="Times New Roman;Times;Serif"/>
          <w:b w:val="false"/>
          <w:i w:val="false"/>
          <w:caps w:val="false"/>
          <w:smallCaps w:val="false"/>
          <w:sz w:val="20"/>
        </w:rPr>
        <w:t xml:space="preserve">”), (ii) the Merger Sub Board is comprised of six (6) members, with five (5) of such members being the designees of Parent listed in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 xml:space="preserve"> under the heading “Merger Sub Board Designees – Parent” and one (1) of such members being the designee of the Company listed in </w:t>
      </w:r>
      <w:r>
        <w:rPr>
          <w:rFonts w:ascii="Times New Roman;Times;Serif" w:hAnsi="Times New Roman;Times;Serif"/>
          <w:b/>
          <w:i w:val="false"/>
          <w:caps w:val="false"/>
          <w:smallCaps w:val="false"/>
          <w:sz w:val="20"/>
        </w:rPr>
        <w:t xml:space="preserve">Exhibit G </w:t>
      </w:r>
      <w:r>
        <w:rPr>
          <w:rFonts w:ascii="Times New Roman;Times;Serif" w:hAnsi="Times New Roman;Times;Serif"/>
          <w:b w:val="false"/>
          <w:i w:val="false"/>
          <w:caps w:val="false"/>
          <w:smallCaps w:val="false"/>
          <w:sz w:val="20"/>
        </w:rPr>
        <w:t xml:space="preserve">under the heading “Merger Sub Board Designee - Company”, and (iii) the Persons listed in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 xml:space="preserve"> under the heading “Officers” are elected or appointed, as applicable, to the positions of officers of Parent and the Surviving Corporation, as set forth therein, to serve in such positions effective as of the Effective Time until successors are duly appointed and qualified in accordance with applicable Law. If any Person listed in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 xml:space="preserve"> is unable or unwilling to serve as a director or an officer, as the case may be, of Parent or the Surviving Corporation, as set forth therein, as of the Effective Time or the Parent Stockholders’ Meeting, the members of the Parent Board designated by the Party who designated such director or officer shall elect or appoint a new director or officer, as the case may be. The Persons listed in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 xml:space="preserve"> under the heading “Board Designees – Parent” shall be Parent’s designees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The Persons listed in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 xml:space="preserve"> under the heading “Board Designees – Company” shall be the Company’s designees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The Parties shall cooperate in good faith to ensure that the Parent Board shall have sufficient independent directors to satisfy applicable Nasdaq listing standards. All independent board members must qualify as “independent directors” under applicable SEC rules. Concurrently with the Closing, the newly constituted Parent Board shall ensure that the various committees of the Parent Board are duly constituted.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i w:val="false"/>
          <w:caps w:val="false"/>
          <w:smallCaps w:val="false"/>
          <w:sz w:val="20"/>
          <w:u w:val="single"/>
        </w:rPr>
        <w:t>Board Observers</w:t>
      </w:r>
      <w:r>
        <w:rPr>
          <w:rFonts w:ascii="Times New Roman;Times;Serif" w:hAnsi="Times New Roman;Times;Serif"/>
          <w:b w:val="false"/>
          <w:i w:val="false"/>
          <w:caps w:val="false"/>
          <w:smallCaps w:val="false"/>
          <w:sz w:val="20"/>
        </w:rPr>
        <w:t xml:space="preserve">. On and after the Effective Time and through the date of the Parent Stockholders’ Meeting, the Parent shall allow two (2) observers designated by the Company and listed in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 xml:space="preserve"> under the heading “Parent Board Observer Designees” (the “</w:t>
      </w:r>
      <w:r>
        <w:rPr>
          <w:rFonts w:ascii="Times New Roman;Times;Serif" w:hAnsi="Times New Roman;Times;Serif"/>
          <w:b/>
          <w:i/>
          <w:caps w:val="false"/>
          <w:smallCaps w:val="false"/>
          <w:sz w:val="20"/>
        </w:rPr>
        <w:t>Board Observers</w:t>
      </w:r>
      <w:r>
        <w:rPr>
          <w:rFonts w:ascii="Times New Roman;Times;Serif" w:hAnsi="Times New Roman;Times;Serif"/>
          <w:b w:val="false"/>
          <w:i w:val="false"/>
          <w:caps w:val="false"/>
          <w:smallCaps w:val="false"/>
          <w:sz w:val="20"/>
        </w:rPr>
        <w:t xml:space="preserve">”) to attend (including telephonically or by other means of electronic communication) all meetings of the Parent Board (but not the committees of Parent Board) in a non-voting capacity. If at any time after the Effective Time but prior to the date of the Parent Stockholders’ Meeting, a Board Observer relinquishes his or her rights as such, the remaining Board Observer shall have the right to appoint one (1) new observer to attend (including telephonically or by other means of electronic communication) all meetings of the Parent Board in a non-voting capacity in lieu of the Person who relinquished his or her rights, and such Person shall thereafter be deemed a “Board Observer” hereunder. Parent shall (i) give the Board Observers notice of all such meetings at the same time as furnished to the members of the Parent Board, (ii) provide to the Board Observers all copies of notices or documents furnished to the directors of the Parent Board, whether at or in anticipation of a meeting, an action by written consent or otherwise, at the same time furnished to the members of the Parent Board, (iii) notify the Board Observers of, and permit the Board Observers to participate by telephone or other means of electronic communication in, emergency meetings of the Parent Board, (iv) provide the Board Observers copies of the minutes of all such meetings at the time such minutes are furnished to the members of the Parent Board, and (v) reimburse the Board Observers for all reasonable and documented out-of-pocket costs and expenses incurred in connection with their participation in any meeting of the Parent Board in a manner consistent with the reimbursement policies applicable to members of the Parent Board;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Board Observers may be excluded from executive sessions of Parent Board and from meetings and information (or portions thereof) to the extent (i) that the attendance at such meetings or the provision of such information would reasonably be expected to jeopardize Parent’s attorney-client privilege or work product privilege (as determined by legal counsel to the Parent) as between the Parent or its Affiliates and their legal counsel, (ii) necessary to avoid a conflict of interest or disclosure that is restricted by any agreement to which Parent is party to (other than any restriction explicitly included for the purpose of excluding the Board Observers), (iii) necessary to protect highly confidential proprietary information of Parent, or (iv)  it involves communications of existing or potential conflicts of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Parent and the Company shall take all such steps as may be required (to the extent permitted under applicable Laws) to cause any acquisitions of Parent Common Stock, restricted stock awards to acquire Parent Common Stock and any Parent Options and Parent Warrants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i w:val="false"/>
          <w:caps w:val="false"/>
          <w:smallCaps w:val="false"/>
          <w:sz w:val="20"/>
          <w:u w:val="single"/>
        </w:rPr>
        <w:t>Closing Certificates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prepare and deliver to Parent prior to the Closing a certificate signed by a member of the Company Board in a form reasonably acceptable to Parent setting forth, as of immediately prior to the Effective Time (i) each holder of Company Shares, Company SAFEs, and Company Options; (ii) such holder’s name and address; (iii) the number and type of Company Shares held and/or underlying the Company Options as of the immediately prior to the Effective Time for each such holder; (iv) the dollar amount of Company SAFEs; and (v) the number of shares of Parent Voting Common Stock and/or Parent Convertible Preferred Stock to be issued to each such holder, or to underlie any Parent Option to be issued to such holder, pursuant to this Agreement in respect of the Company Shares, Company SAFEs or Company Options held by such holder as of immediately prior to the Effective Time (the “</w:t>
      </w:r>
      <w:r>
        <w:rPr>
          <w:rFonts w:ascii="Times New Roman;Times;Serif" w:hAnsi="Times New Roman;Times;Serif"/>
          <w:b/>
          <w:i/>
          <w:caps w:val="false"/>
          <w:smallCaps w:val="false"/>
          <w:sz w:val="20"/>
        </w:rPr>
        <w:t>Allocation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will prepare and deliver to the Company prior to the Closing a certificate signed by the Chief Financial Officer of Parent in a form reasonably acceptable to the Company, setting forth, as of immediately prior to the date of this Agreement, the total number of Parent Outstanding Shares (the “</w:t>
      </w:r>
      <w:r>
        <w:rPr>
          <w:rFonts w:ascii="Times New Roman;Times;Serif" w:hAnsi="Times New Roman;Times;Serif"/>
          <w:b/>
          <w:i/>
          <w:caps w:val="false"/>
          <w:smallCaps w:val="false"/>
          <w:sz w:val="20"/>
        </w:rPr>
        <w:t>Parent Outstanding Shares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i w:val="false"/>
          <w:caps w:val="false"/>
          <w:smallCaps w:val="false"/>
          <w:sz w:val="20"/>
          <w:u w:val="single"/>
        </w:rPr>
        <w:t>Takeover Statutes</w:t>
      </w:r>
      <w:r>
        <w:rPr>
          <w:rFonts w:ascii="Times New Roman;Times;Serif" w:hAnsi="Times New Roman;Times;Serif"/>
          <w:b w:val="false"/>
          <w:i w:val="false"/>
          <w:caps w:val="false"/>
          <w:smallCaps w:val="false"/>
          <w:sz w:val="20"/>
        </w:rPr>
        <w:t>. If any Takeover Statute is or may become applicable to the Contemplated Transactions, each of the Company, the Company Board, Parent and the Parent Board, as applicable, shall grant such approvals and take such actions as are reasonably necessary so that the Contemplated Transactions may be consummated as promptly as practicable on the terms contemplated by this Agreement and otherwise act to eliminate or minimize the effects of such statute or regulation on the Contemplated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i w:val="false"/>
          <w:caps w:val="false"/>
          <w:smallCaps w:val="false"/>
          <w:sz w:val="20"/>
          <w:u w:val="single"/>
        </w:rPr>
        <w:t>Parent Options and Parent RSUs</w:t>
      </w:r>
      <w:r>
        <w:rPr>
          <w:rFonts w:ascii="Times New Roman;Times;Serif" w:hAnsi="Times New Roman;Times;Serif"/>
          <w:b w:val="false"/>
          <w:i w:val="false"/>
          <w:caps w:val="false"/>
          <w:smallCaps w:val="false"/>
          <w:sz w:val="20"/>
        </w:rPr>
        <w:t>. Each unexpired and unexercised Parent Option and Parent RSU, whether vested or unvested, shall remain outstanding immediately after the Effective Time in accordance with its current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i w:val="false"/>
          <w:caps w:val="false"/>
          <w:smallCaps w:val="false"/>
          <w:sz w:val="20"/>
          <w:u w:val="single"/>
        </w:rPr>
        <w:t>Parent Warrants</w:t>
      </w:r>
      <w:r>
        <w:rPr>
          <w:rFonts w:ascii="Times New Roman;Times;Serif" w:hAnsi="Times New Roman;Times;Serif"/>
          <w:b w:val="false"/>
          <w:i w:val="false"/>
          <w:caps w:val="false"/>
          <w:smallCaps w:val="false"/>
          <w:sz w:val="20"/>
        </w:rPr>
        <w:t xml:space="preserve">. Each unexpired and unexercised Parent Warrant, whether vested or unvested, shall remain outstanding immediately after the Effective Time in accordance with its current terms;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affect any Parent Warrants that accelerate pursuant to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i w:val="false"/>
          <w:caps w:val="false"/>
          <w:smallCaps w:val="false"/>
          <w:sz w:val="20"/>
          <w:u w:val="single"/>
        </w:rPr>
        <w:t>Obligations of Merger Sub</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Parent will take all action necessary to cause Merger Sub to perform its obligations under this Agreement and to consummate the Merger on the terms and conditions set forth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i w:val="false"/>
          <w:caps w:val="false"/>
          <w:smallCaps w:val="false"/>
          <w:sz w:val="20"/>
          <w:u w:val="single"/>
        </w:rPr>
        <w:t>Private Placement</w:t>
      </w:r>
      <w:r>
        <w:rPr>
          <w:rFonts w:ascii="Times New Roman;Times;Serif" w:hAnsi="Times New Roman;Times;Serif"/>
          <w:b w:val="false"/>
          <w:i w:val="false"/>
          <w:caps w:val="false"/>
          <w:smallCaps w:val="false"/>
          <w:sz w:val="20"/>
        </w:rPr>
        <w:t>. Each of the Company and Parent shall take all reasonably necessary action on its part such that the issuance of Parent Common Stock Payment Shares and Parent Preferred Stock Payment Shares pursuant to this Agreement constitutes a transaction exempt from registration under the Securities Act in compliance with Rule 506 of Regulation D promulgated thereunder. Each certificate representing Parent Common Stock Payment Shares and the Parent Preferred Stock Payment Shares comprising Merger Consideration shall, until such time that such shares are not so restricted under the Securities Act, bear a legend identical or similar in effect to the following legend (together with any other legend or legends required by applicable state securities applicable Law or otherwise,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144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BY THIS CERTIFICATE HAVE NOT BEEN REGISTERED UNDER THE SECURITIES ACT OF 1933 (THE “ACT”) AND MAY NOT BE OFFERED, SOLD OR OTHERWISE TRANSFERRED, ASSIGNED, PLEDGED OR HYPOTHECATED UNLESS REGISTERED UNDER THE ACT OR UNLESS AN EXEMPTION FROM THE REGISTRATION REQUIREMENTS OF THE ACT IS AVAILABLE.”</w:t>
      </w:r>
    </w:p>
    <w:p>
      <w:pPr>
        <w:pStyle w:val="TextBody"/>
        <w:bidi w:val="0"/>
        <w:spacing w:before="0" w:after="0"/>
        <w:ind w:left="1440" w:right="144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r>
        <w:rPr>
          <w:rFonts w:ascii="Times New Roman;Times;Serif" w:hAnsi="Times New Roman;Times;Serif"/>
          <w:b/>
          <w:i w:val="false"/>
          <w:caps w:val="false"/>
          <w:smallCaps w:val="false"/>
          <w:sz w:val="20"/>
          <w:u w:val="single"/>
        </w:rPr>
        <w:t>Audited 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promptly as practicable following the Closing, and no later than October 1, 2026, the Company shall deliver to Parent PCAOB audited financial statements of the Company prepared in accordance with GAAP.</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904"/>
        <w:gridCol w:w="9256"/>
      </w:tblGrid>
      <w:tr>
        <w:trPr/>
        <w:tc>
          <w:tcPr>
            <w:tcW w:w="4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Section</w:t>
            </w:r>
          </w:p>
        </w:tc>
        <w:tc>
          <w:tcPr>
            <w:tcW w:w="9256" w:type="dxa"/>
            <w:tcBorders/>
            <w:vAlign w:val="center"/>
          </w:tcPr>
          <w:p>
            <w:pPr>
              <w:pStyle w:val="TableContents"/>
              <w:bidi w:val="0"/>
              <w:spacing w:before="0" w:after="283"/>
              <w:jc w:val="left"/>
              <w:rPr/>
            </w:pPr>
            <w:r>
              <w:rPr>
                <w:rFonts w:ascii="Times New Roman;Times;Serif" w:hAnsi="Times New Roman;Times;Serif"/>
                <w:b/>
              </w:rPr>
              <w:t xml:space="preserve">5.  </w:t>
            </w:r>
            <w:r>
              <w:rPr>
                <w:b/>
              </w:rPr>
              <w:t>CONDITIONS PRECEDENT TO OBLIGATIONS OF EACH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Date, of each of the following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No Restraints</w:t>
      </w:r>
      <w:r>
        <w:rPr>
          <w:rFonts w:ascii="Times New Roman;Times;Serif" w:hAnsi="Times New Roman;Times;Serif"/>
          <w:b w:val="false"/>
          <w:i w:val="false"/>
          <w:caps w:val="false"/>
          <w:smallCaps w:val="false"/>
          <w:sz w:val="20"/>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Listing</w:t>
      </w:r>
      <w:r>
        <w:rPr>
          <w:rFonts w:ascii="Times New Roman;Times;Serif" w:hAnsi="Times New Roman;Times;Serif"/>
          <w:b w:val="false"/>
          <w:i w:val="false"/>
          <w:caps w:val="false"/>
          <w:smallCaps w:val="false"/>
          <w:sz w:val="20"/>
        </w:rPr>
        <w:t xml:space="preserve">. The shares of Parent Voting Common Stock to be issued in the Merger pursuant to this Agreement and the shares of Parent Voting Common Stock to be issued in connection with the conversion of the Parent Convertible Preferred Stock issued pursuant to </w:t>
      </w:r>
      <w:r>
        <w:rPr>
          <w:rFonts w:ascii="Times New Roman;Times;Serif" w:hAnsi="Times New Roman;Times;Serif"/>
          <w:b w:val="false"/>
          <w:i w:val="false"/>
          <w:caps w:val="false"/>
          <w:smallCaps w:val="false"/>
          <w:sz w:val="20"/>
          <w:u w:val="single"/>
        </w:rPr>
        <w:t>Sections 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subject to prior receipt of the Required Parent Stockholder Vote, shall have been approved for listing (subject to official notice of issuance) on Nasdaq as of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Certificate of Designation</w:t>
      </w:r>
      <w:r>
        <w:rPr>
          <w:rFonts w:ascii="Times New Roman;Times;Serif" w:hAnsi="Times New Roman;Times;Serif"/>
          <w:b w:val="false"/>
          <w:i w:val="false"/>
          <w:caps w:val="false"/>
          <w:smallCaps w:val="false"/>
          <w:sz w:val="20"/>
        </w:rPr>
        <w:t>. Parent shall have filed the Certificate of Designation with the Secretary of State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Concurrent Investment</w:t>
      </w:r>
      <w:r>
        <w:rPr>
          <w:rFonts w:ascii="Times New Roman;Times;Serif" w:hAnsi="Times New Roman;Times;Serif"/>
          <w:b w:val="false"/>
          <w:i w:val="false"/>
          <w:caps w:val="false"/>
          <w:smallCaps w:val="false"/>
          <w:sz w:val="20"/>
        </w:rPr>
        <w:t>. Cash proceeds of not less than the Concurrent Investment Amount shall have been received by Parent, or will be received by Parent substantially simultaneously with the Closing, in connection with the transactions contemplated by the PIPE Purchase Agreement.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1261"/>
        <w:gridCol w:w="8881"/>
      </w:tblGrid>
      <w:tr>
        <w:trPr/>
        <w:tc>
          <w:tcPr>
            <w:tcW w:w="6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Section</w:t>
            </w:r>
          </w:p>
        </w:tc>
        <w:tc>
          <w:tcPr>
            <w:tcW w:w="8881" w:type="dxa"/>
            <w:tcBorders/>
            <w:vAlign w:val="center"/>
          </w:tcPr>
          <w:p>
            <w:pPr>
              <w:pStyle w:val="TableContents"/>
              <w:bidi w:val="0"/>
              <w:spacing w:before="0" w:after="283"/>
              <w:jc w:val="left"/>
              <w:rPr/>
            </w:pPr>
            <w:r>
              <w:rPr>
                <w:rFonts w:ascii="Times New Roman;Times;Serif" w:hAnsi="Times New Roman;Times;Serif"/>
                <w:b/>
              </w:rPr>
              <w:t xml:space="preserve">6.  </w:t>
            </w:r>
            <w:r>
              <w:rPr>
                <w:b/>
              </w:rPr>
              <w:t>CLOSING DELIVERIES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and Merger Sub to effect the Merger and otherwise consummate the transactions to be consummated at the Closing are subject to the satisfaction or the written waiver by Parent, at or prior to the Closing, of each of the following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u w:val="single"/>
        </w:rPr>
        <w:t>Documents</w:t>
      </w:r>
      <w:r>
        <w:rPr>
          <w:rFonts w:ascii="Times New Roman;Times;Serif" w:hAnsi="Times New Roman;Times;Serif"/>
          <w:b w:val="false"/>
          <w:i w:val="false"/>
          <w:caps w:val="false"/>
          <w:smallCaps w:val="false"/>
          <w:sz w:val="20"/>
        </w:rPr>
        <w:t>. Parent shall have received the following documents, each of which shall be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written resignation, in a form reasonably satisfactory to Parent, dated as of the Closing Date and effective as of the Closing, executed by each of the directors of the Company listed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of the Company Disclosure Schedule;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Allocation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u w:val="single"/>
        </w:rPr>
        <w:t>FIRPTA Certificate</w:t>
      </w:r>
      <w:r>
        <w:rPr>
          <w:rFonts w:ascii="Times New Roman;Times;Serif" w:hAnsi="Times New Roman;Times;Serif"/>
          <w:b w:val="false"/>
          <w:i w:val="false"/>
          <w:caps w:val="false"/>
          <w:smallCaps w:val="false"/>
          <w:sz w:val="20"/>
        </w:rPr>
        <w:t xml:space="preserve">. Parent shall have received (i) an original signed statement from the U.S. Company that the U.S.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(ii) an original signed notice to be delivered to the IRS in accordance with the provisions of Treasury Regulations Section 1.897-2(h)(2), together with written authorization for Parent to deliver such notice to the IRS on behalf of the U.S. Company following the Closing, each dated as of the Closing Date, duly executed by an authorized officer of the U.S. Company, and in form and substance reasonably acceptable to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Parent’s sole remedy for the U.S. Company’s failure to deliver such documentation shall be to withhold pursuant to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u w:val="single"/>
        </w:rPr>
        <w:t>Company Lock-Up Agreements</w:t>
      </w:r>
      <w:r>
        <w:rPr>
          <w:rFonts w:ascii="Times New Roman;Times;Serif" w:hAnsi="Times New Roman;Times;Serif"/>
          <w:b w:val="false"/>
          <w:i w:val="false"/>
          <w:caps w:val="false"/>
          <w:smallCaps w:val="false"/>
          <w:sz w:val="20"/>
        </w:rPr>
        <w:t>. Parent shall have received the Lock-Up Agreements duly executed by each of the Company Signatories, each of which shall be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u w:val="single"/>
        </w:rPr>
        <w:t>Required Company Shareholder Vote</w:t>
      </w:r>
      <w:r>
        <w:rPr>
          <w:rFonts w:ascii="Times New Roman;Times;Serif" w:hAnsi="Times New Roman;Times;Serif"/>
          <w:b w:val="false"/>
          <w:i w:val="false"/>
          <w:caps w:val="false"/>
          <w:smallCaps w:val="false"/>
          <w:sz w:val="20"/>
        </w:rPr>
        <w:t>. The Required Company Shareholder Vote and the Preferred Consent for the Company Shareholder Matters shall have been duly obtained in accordance with applicable Law and the Company’s Organizational Documents.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1458"/>
        <w:gridCol w:w="8674"/>
      </w:tblGrid>
      <w:tr>
        <w:trPr/>
        <w:tc>
          <w:tcPr>
            <w:tcW w:w="7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Section</w:t>
            </w:r>
          </w:p>
        </w:tc>
        <w:tc>
          <w:tcPr>
            <w:tcW w:w="8674" w:type="dxa"/>
            <w:tcBorders/>
            <w:vAlign w:val="center"/>
          </w:tcPr>
          <w:p>
            <w:pPr>
              <w:pStyle w:val="TableContents"/>
              <w:bidi w:val="0"/>
              <w:spacing w:before="0" w:after="283"/>
              <w:jc w:val="left"/>
              <w:rPr/>
            </w:pPr>
            <w:r>
              <w:rPr>
                <w:rFonts w:ascii="Times New Roman;Times;Serif" w:hAnsi="Times New Roman;Times;Serif"/>
                <w:b/>
              </w:rPr>
              <w:t xml:space="preserve">7.  </w:t>
            </w:r>
            <w:r>
              <w:rPr>
                <w:b/>
              </w:rPr>
              <w:t>CLOSING DELIVERIES OF PARENT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val="false"/>
          <w:caps w:val="false"/>
          <w:smallCaps w:val="false"/>
          <w:sz w:val="20"/>
          <w:u w:val="single"/>
        </w:rPr>
        <w:t>Documents</w:t>
      </w:r>
      <w:r>
        <w:rPr>
          <w:rFonts w:ascii="Times New Roman;Times;Serif" w:hAnsi="Times New Roman;Times;Serif"/>
          <w:b w:val="false"/>
          <w:i w:val="false"/>
          <w:caps w:val="false"/>
          <w:smallCaps w:val="false"/>
          <w:sz w:val="20"/>
        </w:rPr>
        <w:t>. The Company shall have received the following documents, each of which shall be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Outstanding Shares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written resignation, in a form reasonably satisfactory to the Company, dated as of the Closing Date and effective as of the Closing, executed by each of the officers and directors of Parent who are not to continue as officers or directors, as the case may be, of Parent after the Closing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certified copies of the resolutions duly adopted by the Parent Board and in full force and effect as of the Closing authorizing the appointment of the directors and officers set forth on </w:t>
      </w:r>
      <w:r>
        <w:rPr>
          <w:rFonts w:ascii="Times New Roman;Times;Serif" w:hAnsi="Times New Roman;Times;Serif"/>
          <w:b/>
          <w:i w:val="false"/>
          <w:caps w:val="false"/>
          <w:smallCaps w:val="false"/>
          <w:sz w:val="20"/>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Representative Confirmation Letters from all attorneys, accountants, investment bankers and other professional advisors of the Parent;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counterpart to the Plan of Merger, together with the Cayman Merger Documents to be filed in respect of the Merger Sub.</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val="false"/>
          <w:caps w:val="false"/>
          <w:smallCaps w:val="false"/>
          <w:sz w:val="20"/>
          <w:u w:val="single"/>
        </w:rPr>
        <w:t>Parent Lock-Up Agreements</w:t>
      </w:r>
      <w:r>
        <w:rPr>
          <w:rFonts w:ascii="Times New Roman;Times;Serif" w:hAnsi="Times New Roman;Times;Serif"/>
          <w:b w:val="false"/>
          <w:i w:val="false"/>
          <w:caps w:val="false"/>
          <w:smallCaps w:val="false"/>
          <w:sz w:val="20"/>
        </w:rPr>
        <w:t>. The Company shall have received the Lock-Up Agreements duly executed by each of the Parent Signatories, each of which shall be in full force and effect.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594"/>
        <w:gridCol w:w="8531"/>
      </w:tblGrid>
      <w:tr>
        <w:trPr/>
        <w:tc>
          <w:tcPr>
            <w:tcW w:w="8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Section</w:t>
            </w:r>
          </w:p>
        </w:tc>
        <w:tc>
          <w:tcPr>
            <w:tcW w:w="8531" w:type="dxa"/>
            <w:tcBorders/>
            <w:vAlign w:val="center"/>
          </w:tcPr>
          <w:p>
            <w:pPr>
              <w:pStyle w:val="TableContents"/>
              <w:bidi w:val="0"/>
              <w:spacing w:before="0" w:after="283"/>
              <w:jc w:val="left"/>
              <w:rPr/>
            </w:pPr>
            <w:r>
              <w:rPr>
                <w:rFonts w:ascii="Times New Roman;Times;Serif" w:hAnsi="Times New Roman;Times;Serif"/>
                <w:b/>
              </w:rPr>
              <w:t xml:space="preserve">8.  </w:t>
            </w:r>
            <w:r>
              <w:rPr>
                <w:b/>
              </w:rPr>
              <w:t>MISCELLANEOUS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u w:val="single"/>
        </w:rPr>
        <w:t>Non-Survival of Representations and Warranties</w:t>
      </w:r>
      <w:r>
        <w:rPr>
          <w:rFonts w:ascii="Times New Roman;Times;Serif" w:hAnsi="Times New Roman;Times;Serif"/>
          <w:b w:val="false"/>
          <w:i w:val="false"/>
          <w:caps w:val="false"/>
          <w:smallCaps w:val="false"/>
          <w:sz w:val="20"/>
        </w:rPr>
        <w:t xml:space="preserve">. The representations and warranties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survive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(or managers as applicable) of the Surviving Corporation and Parent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after any such approval of this Agreement by a Party’s stockholders or shareholders (as applicable), no amendment shall be made which by Law requires further approval of such stockholders or shareholders (as applicable) without the further approval of such stockholders or shareholders (as applicable). This Agreement may not be amended except by an instrument in writing signed on behalf of each of the Surviving Corporation and Parent.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u w:val="single"/>
        </w:rPr>
        <w:t>Entire Agreement; Counterparts; Exchanges by Electronic Transmission</w:t>
      </w:r>
      <w:r>
        <w:rPr>
          <w:rFonts w:ascii="Times New Roman;Times;Serif" w:hAnsi="Times New Roman;Times;Serif"/>
          <w:b w:val="false"/>
          <w:i w:val="false"/>
          <w:caps w:val="false"/>
          <w:smallCaps w:val="false"/>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Notwithstanding anything in this Agreement to the contrary, the parties hereto acknowledge and agree that the Company Disclosure Schedule and the Parent Disclosure Schedule are not incorporated by reference into, and shall not be deemed to constitute a part of, this Agreement or the “agreement of merger” for purposes of Section 252 of the DGCL but shall have the effects provided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i w:val="false"/>
          <w:caps w:val="false"/>
          <w:smallCaps w:val="false"/>
          <w:sz w:val="20"/>
          <w:u w:val="single"/>
        </w:rPr>
        <w:t>Applicable Law; Jurisdiction; WAIVER OF JURY TRIAL</w:t>
      </w:r>
      <w:r>
        <w:rPr>
          <w:rFonts w:ascii="Times New Roman;Times;Serif" w:hAnsi="Times New Roman;Times;Serif"/>
          <w:b w:val="false"/>
          <w:i w:val="false"/>
          <w:caps w:val="false"/>
          <w:smallCaps w:val="false"/>
          <w:sz w:val="20"/>
        </w:rPr>
        <w:t xml:space="preserve">. This Agreement shall be governed by, and construed and enforced in accordance with, the Laws of the State of Delaware, regardless of the Laws that might otherwise govern under applicable principles of conflicts of laws;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for the avoidance of doubt, the fiduciary and other duties of the Company Board, the Merger, the vesting of the rights, property, choses in action, business, undertaking, goodwill, benefits, immunities and privileges, contracts, obligations, claims, debts and liabilities pursuant to the merger, the cancellation and conversion of the Company Shares as the case may be, the rights set forth in Section 238 of the Companies Act with respect to any Dissenting Shares, in each case, to the extent required by the laws of the Cayman Islands, and the internal corporate affairs of the Company shall in each case be governed by the laws of the Cayman Islands.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of this Agreement. EACH PARTY ACKNOWLEDGES AND AGREES THAT ANY CONTROVERSY WHICH MAY ARISE UNDER THIS AGREEMENT IS LIKELY TO INVOLVE COMPLICATED AND DIFFICULT ISSUES, AND THEREFORE IT HEREBY IRREVOCABLY AND UNCONDITIONALLY WAIVES TO THE FULLEST EXTENT PROVIDED BY LAW ANY RIGHT IT MAY HAVE TO A TRIAL BY JURY IN RESPECT OF ANY CLAIM, ACTION OR PROCEEDING (WHETHER IN CONTRACT, TORT OR OTHERWISE) DIRECTLY OR INDIRECTLY ARISING OUT OF OR RELATING TO THIS AGREEMENT OR ANY OF THE TRANSACTIONS CONTEMPLATED 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THE FOREGOING WAIVER, (III) IT MAKES THE FOREGOING WAIVER VOLUNTARILY AND (IV) IT HAS BEEN INDUCED TO ENTER INTO THIS AGREEMENT BY, AMONG OTHER THINGS, THE MUTUAL WAIVERS AND CERTIFICATIONS IN </w:t>
      </w:r>
      <w:r>
        <w:rPr>
          <w:rFonts w:ascii="Times New Roman;Times;Serif" w:hAnsi="Times New Roman;Times;Serif"/>
          <w:b w:val="false"/>
          <w:i w:val="false"/>
          <w:caps/>
          <w:sz w:val="20"/>
        </w:rPr>
        <w:t xml:space="preserve">THIS </w:t>
      </w:r>
      <w:r>
        <w:rPr>
          <w:rFonts w:ascii="Times New Roman;Times;Serif" w:hAnsi="Times New Roman;Times;Serif"/>
          <w:b w:val="false"/>
          <w:i w:val="false"/>
          <w:caps/>
          <w:sz w:val="20"/>
          <w:u w:val="single"/>
        </w:rPr>
        <w:t>SECTION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Standard Time, otherwise on the next succeeding Business Day, in each case to the intended recipient as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Bridge Pkwy Suite #102</w:t>
        <w:br/>
        <w:t>Redwood City, CA 94065</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Jeet Mahal, Chief Executive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jmahal@jaspertx.com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w:t>
        <w:br/>
        <w:t>1117 S. California Avenue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94304</w:t>
        <w:br/>
        <w:t>Attention: Jeff Hartlin; Andrew Goodman</w:t>
        <w:br/>
        <w:t>Email: jeffhartlin@paulhastings.com; andrewgoodman@paulhastings.com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Kira Pharmaceuticals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 Main Street, 12th FL</w:t>
        <w:br/>
        <w:t>Cambridge, MA 02142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Matthew E. Ros, COO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matthew.ros@kirapharma.com</w:t>
      </w:r>
    </w:p>
    <w:p>
      <w:pPr>
        <w:pStyle w:val="TextBody"/>
        <w:bidi w:val="0"/>
        <w:spacing w:before="0" w:after="0"/>
        <w:ind w:left="144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Liberty Place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 Market Street, Suite 5000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Fahd M.T. Riaz, Esq., Patrick O’Malley, Esq., Dylan Caplan, Esq.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fahd.riaz@us.dlapiper.com, patrick.omalley@us.dlapiper.com, dylan.caplan@us.dlapiper.com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i w:val="false"/>
          <w:caps w:val="false"/>
          <w:smallCaps w:val="false"/>
          <w:sz w:val="20"/>
          <w:u w:val="single"/>
        </w:rPr>
        <w:t>Cooperation</w:t>
      </w:r>
      <w:r>
        <w:rPr>
          <w:rFonts w:ascii="Times New Roman;Times;Serif" w:hAnsi="Times New Roman;Times;Serif"/>
          <w:b w:val="false"/>
          <w:i w:val="false"/>
          <w:caps w:val="false"/>
          <w:smallCaps w:val="false"/>
          <w:sz w:val="20"/>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i w:val="false"/>
          <w:caps w:val="false"/>
          <w:smallCaps w:val="false"/>
          <w:sz w:val="20"/>
          <w:u w:val="single"/>
        </w:rPr>
        <w:t>Other Remedies; 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References to “cash,” “dollars” or “$” are to U.S. dollars.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this Agreement, the words “include” and “including,” and variations thereof, shall not be deemed to be terms of limitation, but rather shall be deemed to be followed by the words “without limitation.”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indicated, all references in this Agreement to “Sections,” “Exhibits” and “Schedules” are intended to refer to Sections of this Agreement and Exhibits and Schedules to this Agreement, respectively.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“delivered” or “made available” means, with respect to any documentation, prior to the execution of this Agreement (i) a copy of such material has been posted to and made available by a Party to the other Party and its Representatives in the electronic data room maintained by such disclosing Party or (ii) such material is disclosed in the Parent SEC Documents filed with the SEC prior to the date hereof and publicly made available on the SEC’s Electronic Data Gathering Analysis and Retrieval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Whenever the last day for the exercise of any privilege or the discharge of any duty hereunder shall fall upon a Saturday, Sunday, or any date on which banks in New York, New York, are authorized or obligated by Law to be closed, the Party having such privilege or duty may exercise such privilege or discharge such duty on the next succeeding day which is a regular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provided in this Agreement, all expenses incurred in connection with this Agreement and the Contemplated Transactions will be paid by the Party incurring such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Agreement to be executed as of the date first above written.</w:t>
      </w:r>
    </w:p>
    <w:p>
      <w:pPr>
        <w:pStyle w:val="TextBody"/>
        <w:bidi w:val="0"/>
        <w:spacing w:before="0" w:after="0"/>
        <w:ind w:left="0" w:right="0" w:firstLine="36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1055"/>
        <w:gridCol w:w="2534"/>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b/>
              </w:rPr>
            </w:pPr>
            <w:r>
              <w:rPr>
                <w:b/>
              </w:rPr>
              <w:t>JASPER THERAPEUTICS, INC.</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25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20"/>
              </w:rPr>
            </w:pPr>
            <w:r>
              <w:rPr>
                <w:sz w:val="20"/>
              </w:rPr>
              <w:t>By:</w:t>
            </w:r>
          </w:p>
        </w:tc>
        <w:tc>
          <w:tcPr>
            <w:tcW w:w="2534" w:type="dxa"/>
            <w:tcBorders>
              <w:bottom w:val="single" w:sz="12" w:space="0" w:color="000000"/>
            </w:tcBorders>
            <w:tcMar>
              <w:bottom w:w="28" w:type="dxa"/>
            </w:tcMar>
            <w:vAlign w:val="center"/>
          </w:tcPr>
          <w:p>
            <w:pPr>
              <w:pStyle w:val="TableContents"/>
              <w:bidi w:val="0"/>
              <w:spacing w:before="0" w:after="283"/>
              <w:jc w:val="left"/>
              <w:rPr>
                <w:strike w:val="false"/>
                <w:dstrike w:val="false"/>
                <w:sz w:val="20"/>
                <w:u w:val="none"/>
                <w:effect w:val="none"/>
              </w:rPr>
            </w:pPr>
            <w:r>
              <w:rPr>
                <w:strike w:val="false"/>
                <w:dstrike w:val="false"/>
                <w:sz w:val="20"/>
                <w:u w:val="none"/>
                <w:effect w:val="none"/>
              </w:rPr>
              <w:t>/s/ Jeet Mahal</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Name:  </w:t>
            </w:r>
          </w:p>
        </w:tc>
        <w:tc>
          <w:tcPr>
            <w:tcW w:w="2534" w:type="dxa"/>
            <w:tcBorders/>
            <w:vAlign w:val="center"/>
          </w:tcPr>
          <w:p>
            <w:pPr>
              <w:pStyle w:val="TableContents"/>
              <w:bidi w:val="0"/>
              <w:spacing w:before="0" w:after="283"/>
              <w:jc w:val="left"/>
              <w:rPr/>
            </w:pPr>
            <w:r>
              <w:rPr/>
              <w:t>Jeet Mahal</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20"/>
              </w:rPr>
            </w:pPr>
            <w:r>
              <w:rPr>
                <w:sz w:val="20"/>
              </w:rPr>
              <w:t>Title:</w:t>
            </w:r>
          </w:p>
        </w:tc>
        <w:tc>
          <w:tcPr>
            <w:tcW w:w="2534" w:type="dxa"/>
            <w:tcBorders/>
            <w:vAlign w:val="center"/>
          </w:tcPr>
          <w:p>
            <w:pPr>
              <w:pStyle w:val="TableContents"/>
              <w:bidi w:val="0"/>
              <w:spacing w:before="0" w:after="283"/>
              <w:jc w:val="left"/>
              <w:rPr>
                <w:sz w:val="20"/>
              </w:rPr>
            </w:pPr>
            <w:r>
              <w:rPr>
                <w:sz w:val="20"/>
              </w:rPr>
              <w:t>Chief Exective Officer</w:t>
            </w:r>
          </w:p>
        </w:tc>
      </w:tr>
    </w:tbl>
    <w:p>
      <w:pPr>
        <w:pStyle w:val="TextBody"/>
        <w:bidi w:val="0"/>
        <w:spacing w:before="0" w:after="0"/>
        <w:ind w:left="4320" w:right="0" w:firstLine="360"/>
        <w:jc w:val="left"/>
        <w:rPr>
          <w:caps w:val="false"/>
          <w:smallCaps w:val="false"/>
        </w:rPr>
      </w:pPr>
      <w:r>
        <w:rPr>
          <w:caps w:val="false"/>
          <w:smallCaps w:val="false"/>
        </w:rPr>
        <w:t> </w:t>
      </w:r>
    </w:p>
    <w:tbl>
      <w:tblPr>
        <w:tblW w:w="1939" w:type="dxa"/>
        <w:jc w:val="left"/>
        <w:tblInd w:w="0" w:type="dxa"/>
        <w:tblLayout w:type="fixed"/>
        <w:tblCellMar>
          <w:top w:w="0" w:type="dxa"/>
          <w:left w:w="0" w:type="dxa"/>
          <w:bottom w:w="0" w:type="dxa"/>
          <w:right w:w="0" w:type="dxa"/>
        </w:tblCellMar>
      </w:tblPr>
      <w:tblGrid>
        <w:gridCol w:w="75"/>
        <w:gridCol w:w="628"/>
        <w:gridCol w:w="1236"/>
      </w:tblGrid>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b/>
                <w:sz w:val="20"/>
              </w:rPr>
            </w:pPr>
            <w:r>
              <w:rPr>
                <w:b/>
                <w:sz w:val="20"/>
              </w:rPr>
              <w:t>KIRA HOLDCO INC.</w:t>
            </w:r>
          </w:p>
        </w:tc>
      </w:tr>
      <w:tr>
        <w:trPr/>
        <w:tc>
          <w:tcPr>
            <w:tcW w:w="75"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sz w:val="20"/>
              </w:rPr>
            </w:pPr>
            <w:r>
              <w:rPr>
                <w:sz w:val="20"/>
              </w:rPr>
              <w:t>By:</w:t>
            </w:r>
          </w:p>
        </w:tc>
        <w:tc>
          <w:tcPr>
            <w:tcW w:w="1236" w:type="dxa"/>
            <w:tcBorders>
              <w:bottom w:val="single" w:sz="12" w:space="0" w:color="000000"/>
            </w:tcBorders>
            <w:tcMar>
              <w:bottom w:w="28" w:type="dxa"/>
            </w:tcMar>
            <w:vAlign w:val="center"/>
          </w:tcPr>
          <w:p>
            <w:pPr>
              <w:pStyle w:val="TableContents"/>
              <w:bidi w:val="0"/>
              <w:spacing w:before="0" w:after="283"/>
              <w:jc w:val="left"/>
              <w:rPr>
                <w:strike w:val="false"/>
                <w:dstrike w:val="false"/>
                <w:sz w:val="20"/>
                <w:u w:val="none"/>
                <w:effect w:val="none"/>
              </w:rPr>
            </w:pPr>
            <w:r>
              <w:rPr>
                <w:strike w:val="false"/>
                <w:dstrike w:val="false"/>
                <w:sz w:val="20"/>
                <w:u w:val="none"/>
                <w:effect w:val="none"/>
              </w:rPr>
              <w:t>/s/ Jeet Mahal</w:t>
            </w:r>
          </w:p>
        </w:tc>
      </w:tr>
      <w:tr>
        <w:trPr/>
        <w:tc>
          <w:tcPr>
            <w:tcW w:w="75"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sz w:val="20"/>
              </w:rPr>
            </w:pPr>
            <w:r>
              <w:rPr>
                <w:sz w:val="20"/>
              </w:rPr>
              <w:t xml:space="preserve">Name: </w:t>
            </w:r>
          </w:p>
        </w:tc>
        <w:tc>
          <w:tcPr>
            <w:tcW w:w="1236" w:type="dxa"/>
            <w:tcBorders/>
            <w:vAlign w:val="center"/>
          </w:tcPr>
          <w:p>
            <w:pPr>
              <w:pStyle w:val="TableContents"/>
              <w:bidi w:val="0"/>
              <w:spacing w:before="0" w:after="283"/>
              <w:jc w:val="left"/>
              <w:rPr>
                <w:sz w:val="20"/>
              </w:rPr>
            </w:pPr>
            <w:r>
              <w:rPr>
                <w:sz w:val="20"/>
              </w:rPr>
              <w:t>Jeet Mahal</w:t>
            </w:r>
          </w:p>
        </w:tc>
      </w:tr>
      <w:tr>
        <w:trPr/>
        <w:tc>
          <w:tcPr>
            <w:tcW w:w="75"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sz w:val="20"/>
              </w:rPr>
            </w:pPr>
            <w:r>
              <w:rPr>
                <w:sz w:val="20"/>
              </w:rPr>
              <w:t>Title:</w:t>
            </w:r>
          </w:p>
        </w:tc>
        <w:tc>
          <w:tcPr>
            <w:tcW w:w="1236" w:type="dxa"/>
            <w:tcBorders/>
            <w:vAlign w:val="center"/>
          </w:tcPr>
          <w:p>
            <w:pPr>
              <w:pStyle w:val="TableContents"/>
              <w:bidi w:val="0"/>
              <w:spacing w:before="0" w:after="283"/>
              <w:jc w:val="left"/>
              <w:rPr>
                <w:sz w:val="20"/>
              </w:rPr>
            </w:pPr>
            <w:r>
              <w:rPr>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 Merger Agreement] </w:t>
      </w:r>
    </w:p>
    <w:p>
      <w:pPr>
        <w:pStyle w:val="TextBody"/>
        <w:bidi w:val="0"/>
        <w:spacing w:before="0" w:after="0"/>
        <w:ind w:left="0" w:right="0"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Agreement to be executed as of the date first above written.</w:t>
      </w:r>
    </w:p>
    <w:p>
      <w:pPr>
        <w:pStyle w:val="TextBody"/>
        <w:bidi w:val="0"/>
        <w:spacing w:before="0" w:after="0"/>
        <w:ind w:left="0" w:right="0" w:firstLine="36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689"/>
        <w:gridCol w:w="1865"/>
      </w:tblGrid>
      <w:tr>
        <w:trPr/>
        <w:tc>
          <w:tcPr>
            <w:tcW w:w="75"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b/>
                <w:sz w:val="20"/>
              </w:rPr>
            </w:pPr>
            <w:r>
              <w:rPr>
                <w:b/>
                <w:sz w:val="20"/>
              </w:rPr>
              <w:t>KIRA PHARMACEUTICALS</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By:</w:t>
            </w:r>
          </w:p>
        </w:tc>
        <w:tc>
          <w:tcPr>
            <w:tcW w:w="1865" w:type="dxa"/>
            <w:tcBorders>
              <w:bottom w:val="single" w:sz="12" w:space="0" w:color="000000"/>
            </w:tcBorders>
            <w:tcMar>
              <w:bottom w:w="28" w:type="dxa"/>
            </w:tcMar>
            <w:vAlign w:val="center"/>
          </w:tcPr>
          <w:p>
            <w:pPr>
              <w:pStyle w:val="TableContents"/>
              <w:bidi w:val="0"/>
              <w:spacing w:before="0" w:after="283"/>
              <w:jc w:val="left"/>
              <w:rPr>
                <w:strike w:val="false"/>
                <w:dstrike w:val="false"/>
                <w:sz w:val="20"/>
                <w:u w:val="none"/>
                <w:effect w:val="none"/>
              </w:rPr>
            </w:pPr>
            <w:r>
              <w:rPr>
                <w:strike w:val="false"/>
                <w:dstrike w:val="false"/>
                <w:sz w:val="20"/>
                <w:u w:val="none"/>
                <w:effect w:val="none"/>
              </w:rPr>
              <w:t>/s/ Patrick Crutcher</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 xml:space="preserve">Name: </w:t>
            </w:r>
          </w:p>
        </w:tc>
        <w:tc>
          <w:tcPr>
            <w:tcW w:w="1865" w:type="dxa"/>
            <w:tcBorders/>
            <w:vAlign w:val="center"/>
          </w:tcPr>
          <w:p>
            <w:pPr>
              <w:pStyle w:val="TableContents"/>
              <w:bidi w:val="0"/>
              <w:spacing w:before="0" w:after="283"/>
              <w:jc w:val="left"/>
              <w:rPr>
                <w:sz w:val="20"/>
              </w:rPr>
            </w:pPr>
            <w:r>
              <w:rPr>
                <w:sz w:val="20"/>
              </w:rPr>
              <w:t>Patrick Crutcher</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Title:</w:t>
            </w:r>
          </w:p>
        </w:tc>
        <w:tc>
          <w:tcPr>
            <w:tcW w:w="1865" w:type="dxa"/>
            <w:tcBorders/>
            <w:vAlign w:val="center"/>
          </w:tcPr>
          <w:p>
            <w:pPr>
              <w:pStyle w:val="TableContents"/>
              <w:bidi w:val="0"/>
              <w:spacing w:before="0" w:after="283"/>
              <w:jc w:val="left"/>
              <w:rPr>
                <w:sz w:val="20"/>
              </w:rPr>
            </w:pPr>
            <w:r>
              <w:rPr>
                <w:sz w:val="20"/>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 Merger Agreement] </w:t>
      </w:r>
    </w:p>
    <w:p>
      <w:pPr>
        <w:pStyle w:val="TextBody"/>
        <w:bidi w:val="0"/>
        <w:spacing w:before="0" w:after="0"/>
        <w:ind w:left="432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(including this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Aggregate Valuation</w:t>
      </w:r>
      <w:r>
        <w:rPr>
          <w:rFonts w:ascii="Times New Roman;Times;Serif" w:hAnsi="Times New Roman;Times;Serif"/>
          <w:b w:val="false"/>
          <w:i w:val="false"/>
          <w:caps w:val="false"/>
          <w:smallCaps w:val="false"/>
          <w:sz w:val="20"/>
        </w:rPr>
        <w:t>” means the sum of (a) the Company Valuation plus (b) the Parent Valuation.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means the Agreement and Plan of Merger to which this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is attached, as it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other day on which banks in New York, New York, are authorized or obligated by Law to be closed.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CARES Act</w:t>
      </w:r>
      <w:r>
        <w:rPr>
          <w:rFonts w:ascii="Times New Roman;Times;Serif" w:hAnsi="Times New Roman;Times;Serif"/>
          <w:b w:val="false"/>
          <w:i w:val="false"/>
          <w:caps w:val="false"/>
          <w:smallCaps w:val="false"/>
          <w:sz w:val="20"/>
        </w:rPr>
        <w:t>” means the Coronavirus Aid, Relief, and Economic Security Act, Public Law No. 116-136, as in effect on the Closing Date and any other applicable Law or presidential memorandum, executive order or executive memo (including the Memorandum on Deferring Payroll Tax Obligations in Light of the Ongoing Covid-19 Disaster, dated August 8, 2020, and IRS Notice 2020-65, 2020-38 IRB), in any U.S. jurisdiction, addressing the consequences of COVID-19 as well as any applicable guidance issued thereunder or relating thereto, including, the Health and Economic Recovery Omnibus Emergency Solutions Act and the Health, Economic Assistance, Liability, and Schools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Certificate of Designation</w:t>
      </w:r>
      <w:r>
        <w:rPr>
          <w:rFonts w:ascii="Times New Roman;Times;Serif" w:hAnsi="Times New Roman;Times;Serif"/>
          <w:b w:val="false"/>
          <w:i w:val="false"/>
          <w:caps w:val="false"/>
          <w:smallCaps w:val="false"/>
          <w:sz w:val="20"/>
        </w:rPr>
        <w:t xml:space="preserve">” means the Certificate of Designation of Preferences, Rights and Limitations of Parent Convertible Preferred Stock in the form attached hereto as </w:t>
      </w:r>
      <w:r>
        <w:rPr>
          <w:rFonts w:ascii="Times New Roman;Times;Serif" w:hAnsi="Times New Roman;Times;Serif"/>
          <w:b/>
          <w:i w:val="false"/>
          <w:caps w:val="false"/>
          <w:smallCaps w:val="false"/>
          <w:sz w:val="20"/>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Allocation Percentage</w:t>
      </w:r>
      <w:r>
        <w:rPr>
          <w:rFonts w:ascii="Times New Roman;Times;Serif" w:hAnsi="Times New Roman;Times;Serif"/>
          <w:b w:val="false"/>
          <w:i w:val="false"/>
          <w:caps w:val="false"/>
          <w:smallCaps w:val="false"/>
          <w:sz w:val="20"/>
        </w:rPr>
        <w:t>” means the quotient determined by dividing (a) the Company Valuation by (b) the Aggregate Valuation.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Associate</w:t>
      </w:r>
      <w:r>
        <w:rPr>
          <w:rFonts w:ascii="Times New Roman;Times;Serif" w:hAnsi="Times New Roman;Times;Serif"/>
          <w:b w:val="false"/>
          <w:i w:val="false"/>
          <w:caps w:val="false"/>
          <w:smallCaps w:val="false"/>
          <w:sz w:val="20"/>
        </w:rPr>
        <w:t>” means any current or former employee, independent contractor, officer or director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Contract</w:t>
      </w:r>
      <w:r>
        <w:rPr>
          <w:rFonts w:ascii="Times New Roman;Times;Serif" w:hAnsi="Times New Roman;Times;Serif"/>
          <w:b w:val="false"/>
          <w:i w:val="false"/>
          <w:caps w:val="false"/>
          <w:smallCaps w:val="false"/>
          <w:sz w:val="20"/>
        </w:rPr>
        <w:t>” means any Contract: (a) to which the Company or any of its Subsidiaries is a Party; (b) by which the Company or any of its Subsidiaries or any Company IP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ERISA Affiliate</w:t>
      </w:r>
      <w:r>
        <w:rPr>
          <w:rFonts w:ascii="Times New Roman;Times;Serif" w:hAnsi="Times New Roman;Times;Serif"/>
          <w:b w:val="false"/>
          <w:i w:val="false"/>
          <w:caps w:val="false"/>
          <w:smallCaps w:val="false"/>
          <w:sz w:val="20"/>
        </w:rPr>
        <w:t>” means any corporation or trade or business (whether or not incorporated) which is (or at any relevant time was) treated with the Company as a single employer within the meaning of Section 414 of the Code.</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IP</w:t>
      </w:r>
      <w:r>
        <w:rPr>
          <w:rFonts w:ascii="Times New Roman;Times;Serif" w:hAnsi="Times New Roman;Times;Serif"/>
          <w:b w:val="false"/>
          <w:i w:val="false"/>
          <w:caps w:val="false"/>
          <w:smallCaps w:val="false"/>
          <w:sz w:val="20"/>
        </w:rPr>
        <w:t>” means all Intellectual Property Rights that are owned or purported to be owned by, assigned to, or exclusively licensed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Effects arising or resulting from the following shall not be taken into account in determining whether there has been a Company Material Adverse Effect: (a) general business or economic conditions affecting the industry in which the Company and its Subsidiaries operate,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any change in, or any compliance with or action taken for the purpose of complying with, any Law or GAAP (or interpretations of any Law or GAAP), (e) resulting from the announcement of this Agreement or the pendency of the Contemplated Transactions, or (f) resulting from the taking of any action required to be taken by this Agreement; except in each case with respect to clauses (a) through (c), to the extent disproportionately affecting the Company, taken as a whole, relative to other similarly situated companies in the industries in which the Company operates.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Merger Shares</w:t>
      </w:r>
      <w:r>
        <w:rPr>
          <w:rFonts w:ascii="Times New Roman;Times;Serif" w:hAnsi="Times New Roman;Times;Serif"/>
          <w:b w:val="false"/>
          <w:i w:val="false"/>
          <w:caps w:val="false"/>
          <w:smallCaps w:val="false"/>
          <w:sz w:val="20"/>
        </w:rPr>
        <w:t>” means, the product determined by multiplying (a) the Post-Closing Parent Shares by (b) the Company Allocation Percentage.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Options</w:t>
      </w:r>
      <w:r>
        <w:rPr>
          <w:rFonts w:ascii="Times New Roman;Times;Serif" w:hAnsi="Times New Roman;Times;Serif"/>
          <w:b w:val="false"/>
          <w:i w:val="false"/>
          <w:caps w:val="false"/>
          <w:smallCaps w:val="false"/>
          <w:sz w:val="20"/>
        </w:rPr>
        <w:t>” means options to purchase Company Ordinary Shares issued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Ordinary Shares</w:t>
      </w:r>
      <w:r>
        <w:rPr>
          <w:rFonts w:ascii="Times New Roman;Times;Serif" w:hAnsi="Times New Roman;Times;Serif"/>
          <w:b w:val="false"/>
          <w:i w:val="false"/>
          <w:caps w:val="false"/>
          <w:smallCaps w:val="false"/>
          <w:sz w:val="20"/>
        </w:rPr>
        <w:t>” means the ordinary shares in the capital of the Company of $0.01 par value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Outstanding Shares</w:t>
      </w:r>
      <w:r>
        <w:rPr>
          <w:rFonts w:ascii="Times New Roman;Times;Serif" w:hAnsi="Times New Roman;Times;Serif"/>
          <w:b w:val="false"/>
          <w:i w:val="false"/>
          <w:caps w:val="false"/>
          <w:smallCaps w:val="false"/>
          <w:sz w:val="20"/>
        </w:rPr>
        <w:t>” means the total number of Company Ordinary Shares and Company Preferred Shares outstanding immediately prior to the Effective Time expressed on a fully diluted basis, and assuming, without limitation or duplication, the issuance of Company Ordinary Shares and Company Preferred Shares in respect of all Company Options and the deemed issuance of a number of Company Ordinary Shares equal to the quotient of (x) the aggregate purchase amount of Company SAFEs divided by the PIPE Conversion Price (as defined in the Company SAFEs), divided by (y) the Exchange Ratio, whether conditional or unconditional, that will be outstanding as of immediately prior to the Effective Time and expressly excluding any Company Options with an exercise price equal to or greater than $25.00.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Preferred Shares</w:t>
      </w:r>
      <w:r>
        <w:rPr>
          <w:rFonts w:ascii="Times New Roman;Times;Serif" w:hAnsi="Times New Roman;Times;Serif"/>
          <w:b w:val="false"/>
          <w:i w:val="false"/>
          <w:caps w:val="false"/>
          <w:smallCaps w:val="false"/>
          <w:sz w:val="20"/>
        </w:rPr>
        <w:t>” means the preferred shares in the capital of the Company of $0.01 par value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SAFEs</w:t>
      </w:r>
      <w:r>
        <w:rPr>
          <w:rFonts w:ascii="Times New Roman;Times;Serif" w:hAnsi="Times New Roman;Times;Serif"/>
          <w:b w:val="false"/>
          <w:i w:val="false"/>
          <w:caps w:val="false"/>
          <w:smallCaps w:val="false"/>
          <w:sz w:val="20"/>
        </w:rPr>
        <w:t>” means the Simple Agreements for Future Equity issued by the Company to one or more investors that are outstanding immediately prior to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Shares</w:t>
      </w:r>
      <w:r>
        <w:rPr>
          <w:rFonts w:ascii="Times New Roman;Times;Serif" w:hAnsi="Times New Roman;Times;Serif"/>
          <w:b w:val="false"/>
          <w:i w:val="false"/>
          <w:caps w:val="false"/>
          <w:smallCaps w:val="false"/>
          <w:sz w:val="20"/>
        </w:rPr>
        <w:t>” means the Company Ordinary Shares and the Company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Unaudited Annual Balance Sheet</w:t>
      </w:r>
      <w:r>
        <w:rPr>
          <w:rFonts w:ascii="Times New Roman;Times;Serif" w:hAnsi="Times New Roman;Times;Serif"/>
          <w:b w:val="false"/>
          <w:i w:val="false"/>
          <w:caps w:val="false"/>
          <w:smallCaps w:val="false"/>
          <w:sz w:val="20"/>
        </w:rPr>
        <w:t>” means the unaudited balance sheet of the Company as of December 31, 2025 provided to Parent prior to the date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Unaudited Interim Balance Sheet</w:t>
      </w:r>
      <w:r>
        <w:rPr>
          <w:rFonts w:ascii="Times New Roman;Times;Serif" w:hAnsi="Times New Roman;Times;Serif"/>
          <w:b w:val="false"/>
          <w:i w:val="false"/>
          <w:caps w:val="false"/>
          <w:smallCaps w:val="false"/>
          <w:sz w:val="20"/>
        </w:rPr>
        <w:t>” means the unaudited balance sheet of the Company as of March 31, 2026 provided to Parent prior to the date of this Agreement.</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Valuation</w:t>
      </w:r>
      <w:r>
        <w:rPr>
          <w:rFonts w:ascii="Times New Roman;Times;Serif" w:hAnsi="Times New Roman;Times;Serif"/>
          <w:b w:val="false"/>
          <w:i w:val="false"/>
          <w:caps w:val="false"/>
          <w:smallCaps w:val="false"/>
          <w:sz w:val="20"/>
        </w:rPr>
        <w:t>” means $150,000,000.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Concurrent Investment Amount</w:t>
      </w:r>
      <w:r>
        <w:rPr>
          <w:rFonts w:ascii="Times New Roman;Times;Serif" w:hAnsi="Times New Roman;Times;Serif"/>
          <w:b w:val="false"/>
          <w:i w:val="false"/>
          <w:caps w:val="false"/>
          <w:smallCaps w:val="false"/>
          <w:sz w:val="20"/>
        </w:rPr>
        <w:t>” means an amount not less than $100,000,000.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Confidentiality Agreement</w:t>
      </w:r>
      <w:r>
        <w:rPr>
          <w:rFonts w:ascii="Times New Roman;Times;Serif" w:hAnsi="Times New Roman;Times;Serif"/>
          <w:b w:val="false"/>
          <w:i w:val="false"/>
          <w:caps w:val="false"/>
          <w:smallCaps w:val="false"/>
          <w:sz w:val="20"/>
        </w:rPr>
        <w:t>” means that certain letter agreement dated as of May 7, 2026, between the Company and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Consent</w:t>
      </w:r>
      <w:r>
        <w:rPr>
          <w:rFonts w:ascii="Times New Roman;Times;Serif" w:hAnsi="Times New Roman;Times;Serif"/>
          <w:b w:val="false"/>
          <w:i w:val="false"/>
          <w:caps w:val="false"/>
          <w:smallCaps w:val="false"/>
          <w:sz w:val="20"/>
        </w:rPr>
        <w:t>” means any approval, consent, ratification, permission, waiver or authorization (including any Governmental Authorization).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Contemplated Transactions</w:t>
      </w:r>
      <w:r>
        <w:rPr>
          <w:rFonts w:ascii="Times New Roman;Times;Serif" w:hAnsi="Times New Roman;Times;Serif"/>
          <w:b w:val="false"/>
          <w:i w:val="false"/>
          <w:caps w:val="false"/>
          <w:smallCaps w:val="false"/>
          <w:sz w:val="20"/>
        </w:rPr>
        <w:t xml:space="preserve">” means the Merger, Parent Stockholder Support Agreements, the CVR Agreement, the Concurrent Investment and the other transactions and actions contemplated by this Agreement to be consummated at or prior to the Closing (but not, for the avoidance of doubt, the actions proposed to be taken as the Parent Stockholders’ Meeting following the Closing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with respect to any Person, any written or oral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Data Security Program</w:t>
      </w:r>
      <w:r>
        <w:rPr>
          <w:rFonts w:ascii="Times New Roman;Times;Serif" w:hAnsi="Times New Roman;Times;Serif"/>
          <w:b w:val="false"/>
          <w:i w:val="false"/>
          <w:caps w:val="false"/>
          <w:smallCaps w:val="false"/>
          <w:sz w:val="20"/>
        </w:rPr>
        <w:t>” means the requirements and restrictions delineated at 28 C.F.R. § 202 et seq., as applicable to “covered transactions” by United States persons, concerning “bulk U.S. sensitive personal data,” and “government-related data,” as defined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Effect</w:t>
      </w:r>
      <w:r>
        <w:rPr>
          <w:rFonts w:ascii="Times New Roman;Times;Serif" w:hAnsi="Times New Roman;Times;Serif"/>
          <w:b w:val="false"/>
          <w:i w:val="false"/>
          <w:caps w:val="false"/>
          <w:smallCaps w:val="false"/>
          <w:sz w:val="20"/>
        </w:rPr>
        <w:t>” means any effect, change, event, circumstance, or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Encumbrance</w:t>
      </w:r>
      <w:r>
        <w:rPr>
          <w:rFonts w:ascii="Times New Roman;Times;Serif" w:hAnsi="Times New Roman;Times;Serif"/>
          <w:b w:val="false"/>
          <w:i w:val="false"/>
          <w:caps w:val="false"/>
          <w:smallCaps w:val="false"/>
          <w:sz w:val="20"/>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Enforceability Exceptions</w:t>
      </w:r>
      <w:r>
        <w:rPr>
          <w:rFonts w:ascii="Times New Roman;Times;Serif" w:hAnsi="Times New Roman;Times;Serif"/>
          <w:b w:val="false"/>
          <w:i w:val="false"/>
          <w:caps w:val="false"/>
          <w:smallCaps w:val="false"/>
          <w:sz w:val="20"/>
        </w:rPr>
        <w:t>” means the (a) Laws of general application relating to bankruptcy, insolvency and the relief of debtors; and (b) rules of Law governing specific performance, injunctive relief and other equitable remedies.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means Jasper Therapeutics, Inc. 2024 Employee Stock Purchase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Exchange Ratio</w:t>
      </w:r>
      <w:r>
        <w:rPr>
          <w:rFonts w:ascii="Times New Roman;Times;Serif" w:hAnsi="Times New Roman;Times;Serif"/>
          <w:b w:val="false"/>
          <w:i w:val="false"/>
          <w:caps w:val="false"/>
          <w:smallCaps w:val="false"/>
          <w:sz w:val="20"/>
        </w:rPr>
        <w:t xml:space="preserve">” means, subject to adjustment pursuant to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the following ratio: the quotient obtained by dividing (a) the Company Merger Shares by (b) the Company Outstanding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generally accepted accounting principles and practices in effect from time to time within the United States applied consistently throughout the period involved.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Governmental Authorization</w:t>
      </w:r>
      <w:r>
        <w:rPr>
          <w:rFonts w:ascii="Times New Roman;Times;Serif" w:hAnsi="Times New Roman;Times;Serif"/>
          <w:b w:val="false"/>
          <w:i w:val="false"/>
          <w:caps w:val="false"/>
          <w:smallCaps w:val="false"/>
          <w:sz w:val="20"/>
        </w:rPr>
        <w:t>” means any: (a) permit, license, certificate, certification, franchise, permission, variance, exception, approval, exemption, order, clearance, registration, listing, qualification or other authorization issued, granted, given or otherwise made available by or under the authority of any Governmental Body or pursuant to any Law; or (b) right under any Contract with any Governmental Body.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Governmental Body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Hazardous Materials</w:t>
      </w:r>
      <w:r>
        <w:rPr>
          <w:rFonts w:ascii="Times New Roman;Times;Serif" w:hAnsi="Times New Roman;Times;Serif"/>
          <w:b w:val="false"/>
          <w:i w:val="false"/>
          <w:caps w:val="false"/>
          <w:smallCaps w:val="false"/>
          <w:sz w:val="20"/>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Healthcare Laws</w:t>
      </w:r>
      <w:r>
        <w:rPr>
          <w:rFonts w:ascii="Times New Roman;Times;Serif" w:hAnsi="Times New Roman;Times;Serif"/>
          <w:b w:val="false"/>
          <w:i w:val="false"/>
          <w:caps w:val="false"/>
          <w:smallCaps w:val="false"/>
          <w:sz w:val="20"/>
        </w:rPr>
        <w:t>” means (a) all applicable Laws relating to the regulation of healthcare services, the Physician Payments Sunshine Act, 42 U.S.C. § 1320a-7h, Title XVIII and Title XIX of the Social Security Act; the federal anti-kickback Law (42 U.S.C. Section 1320a-7b(b)); the Civil Monetary Penalties Law (42 U.S.C. Section 1320a-7a); the civil False Claims Act (31 U.S.C. Sections 3729 et seq.); the federal criminal False Claims Statutes, 18 U.S.C. §§ 286, 287, and 1001; 18 U.S.C. § 1347; and the federal exclusion Laws, 42 U.S.C. § 1320a-7; state and federal Laws concerning the splitting of healthcare professional fees, interacting with health care providers, or compensation for referrals; any and all Laws relating to the corporate practice of licensed professions; any and all Laws relating to conducting clinical trials; any and all applicable Laws relating to the advertising or marketing of healthcare items or services; and any comparable state or local Laws, regulations or authorities, subregulatory guidance, bulletins, and any analogous Laws of any applicable jurisdiction; and (b) any and all amendments or modifications made from time to time to the items referenced in subsection (a)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Intellectual Property Rights</w:t>
      </w:r>
      <w:r>
        <w:rPr>
          <w:rFonts w:ascii="Times New Roman;Times;Serif" w:hAnsi="Times New Roman;Times;Serif"/>
          <w:b w:val="false"/>
          <w:i w:val="false"/>
          <w:caps w:val="false"/>
          <w:smallCaps w:val="false"/>
          <w:sz w:val="20"/>
        </w:rPr>
        <w:t>” means and includes all intellectual property or other proprietary rights under the Laws of any jurisdiction in the world, including, without limitation: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rights; (e) other similar proprietary rights in intellectual property of every kind and nature; (f) rights of privacy and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International Trade Laws</w:t>
      </w:r>
      <w:r>
        <w:rPr>
          <w:rFonts w:ascii="Times New Roman;Times;Serif" w:hAnsi="Times New Roman;Times;Serif"/>
          <w:b w:val="false"/>
          <w:i w:val="false"/>
          <w:caps w:val="false"/>
          <w:smallCaps w:val="false"/>
          <w:sz w:val="20"/>
        </w:rPr>
        <w:t>” means any Laws governing the import, export, reexport, release, brokering, or transfer of goods, software, technology, technical data, and services, including, without limitation, the U.S. export control laws and regulations administered and enforced by the U.S. Departments of Commerce and State and the import and customs laws administered and enforced by the U.S. Departments of Homeland Security, Commerce, and U.S. Customs and Border Protection. “</w:t>
      </w:r>
      <w:r>
        <w:rPr>
          <w:rFonts w:ascii="Times New Roman;Times;Serif" w:hAnsi="Times New Roman;Times;Serif"/>
          <w:b/>
          <w:i/>
          <w:caps w:val="false"/>
          <w:smallCaps w:val="false"/>
          <w:sz w:val="20"/>
        </w:rPr>
        <w:t>International Trade Laws</w:t>
      </w:r>
      <w:r>
        <w:rPr>
          <w:rFonts w:ascii="Times New Roman;Times;Serif" w:hAnsi="Times New Roman;Times;Serif"/>
          <w:b w:val="false"/>
          <w:i w:val="false"/>
          <w:caps w:val="false"/>
          <w:smallCaps w:val="false"/>
          <w:sz w:val="20"/>
        </w:rPr>
        <w:t>” includes anti-boycott laws, to the extent applicable, the Export Control Reform Act, the Export Administration Regulations, the Arms Export Control Act, the International Traffic in Arms Regulations, the International Emergency Economic Powers Act, the Trading with the Enemy Act, the U.S. Customs laws and regulations, the Foreign Asset Control Regulations, or other applicable Law regulating the development, commercialization or export of goods or technology.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Knowledge</w:t>
      </w:r>
      <w:r>
        <w:rPr>
          <w:rFonts w:ascii="Times New Roman;Times;Serif" w:hAnsi="Times New Roman;Times;Serif"/>
          <w:b w:val="false"/>
          <w:i w:val="false"/>
          <w:caps w:val="false"/>
          <w:smallCaps w:val="false"/>
          <w:sz w:val="20"/>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officer or director of such Person as of the date such knowledge is imputed has Knowledge of such fact or other matter.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Legal Proceeding</w:t>
      </w:r>
      <w:r>
        <w:rPr>
          <w:rFonts w:ascii="Times New Roman;Times;Serif" w:hAnsi="Times New Roman;Times;Serif"/>
          <w:b w:val="false"/>
          <w:i w:val="false"/>
          <w:caps w:val="false"/>
          <w:smallCaps w:val="false"/>
          <w:sz w:val="20"/>
        </w:rPr>
        <w:t xml:space="preserve">” means any action, suit, litigation, arbitration, proceeding (including any civil, criminal, administrative, investigative or appellate proceeding), hearing, inquiry, audit, civil investigation demand, subpoena, complaint (including a </w:t>
      </w:r>
      <w:r>
        <w:rPr>
          <w:rFonts w:ascii="Times New Roman;Times;Serif" w:hAnsi="Times New Roman;Times;Serif"/>
          <w:b w:val="false"/>
          <w:i/>
          <w:caps w:val="false"/>
          <w:smallCaps w:val="false"/>
          <w:sz w:val="20"/>
        </w:rPr>
        <w:t xml:space="preserve">qui tam </w:t>
      </w:r>
      <w:r>
        <w:rPr>
          <w:rFonts w:ascii="Times New Roman;Times;Serif" w:hAnsi="Times New Roman;Times;Serif"/>
          <w:b w:val="false"/>
          <w:i w:val="false"/>
          <w:caps w:val="false"/>
          <w:smallCaps w:val="false"/>
          <w:sz w:val="20"/>
        </w:rPr>
        <w:t>complaint), examination or investigation commenced, brought, conducted or heard by or before, or otherwise involving, any court or other Governmental Body or any arbitrator or arbitration panel.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Lookback Date</w:t>
      </w:r>
      <w:r>
        <w:rPr>
          <w:rFonts w:ascii="Times New Roman;Times;Serif" w:hAnsi="Times New Roman;Times;Serif"/>
          <w:b w:val="false"/>
          <w:i w:val="false"/>
          <w:caps w:val="false"/>
          <w:smallCaps w:val="false"/>
          <w:sz w:val="20"/>
        </w:rPr>
        <w:t>” means the date that is four (4) years prior to the date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Merger Sub Board</w:t>
      </w:r>
      <w:r>
        <w:rPr>
          <w:rFonts w:ascii="Times New Roman;Times;Serif" w:hAnsi="Times New Roman;Times;Serif"/>
          <w:b w:val="false"/>
          <w:i w:val="false"/>
          <w:caps w:val="false"/>
          <w:smallCaps w:val="false"/>
          <w:sz w:val="20"/>
        </w:rPr>
        <w:t>” means the board of directors of Merger Sub.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means The Nasdaq Stock Market LLC, including the Nasdaq Global Select Market or such other Nasdaq market on which shares of Parent Voting Common Stock are then listed.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Ordinary Course of Business</w:t>
      </w:r>
      <w:r>
        <w:rPr>
          <w:rFonts w:ascii="Times New Roman;Times;Serif" w:hAnsi="Times New Roman;Times;Serif"/>
          <w:b w:val="false"/>
          <w:i w:val="false"/>
          <w:caps w:val="false"/>
          <w:smallCaps w:val="false"/>
          <w:sz w:val="20"/>
        </w:rPr>
        <w:t>” means, in the case of each of the Company and Parent, such actions taken in the ordinary course of its normal operations and consistent with its past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(other than an individual), (a) the certificate or memorandum of association and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Other Stock Plans”</w:t>
      </w:r>
      <w:r>
        <w:rPr>
          <w:rFonts w:ascii="Times New Roman;Times;Serif" w:hAnsi="Times New Roman;Times;Serif"/>
          <w:b w:val="false"/>
          <w:i w:val="false"/>
          <w:caps w:val="false"/>
          <w:smallCaps w:val="false"/>
          <w:sz w:val="20"/>
        </w:rPr>
        <w:t xml:space="preserve"> means the Jasper Therapeutics, Inc. Amended and Restated 2022 Inducement Equity Incentive Plan, the Jasper Therapeutics, Inc. 2021 Equity Incentive Plan and Jasper Therapeutics, Inc. 2019 Equity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Allocation Percentage</w:t>
      </w:r>
      <w:r>
        <w:rPr>
          <w:rFonts w:ascii="Times New Roman;Times;Serif" w:hAnsi="Times New Roman;Times;Serif"/>
          <w:b w:val="false"/>
          <w:i w:val="false"/>
          <w:caps w:val="false"/>
          <w:smallCaps w:val="false"/>
          <w:sz w:val="20"/>
        </w:rPr>
        <w:t>” means the quotient determined by dividing (a) the Parent Valuation by (b) the Aggregate Valuation.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Associate</w:t>
      </w:r>
      <w:r>
        <w:rPr>
          <w:rFonts w:ascii="Times New Roman;Times;Serif" w:hAnsi="Times New Roman;Times;Serif"/>
          <w:b w:val="false"/>
          <w:i w:val="false"/>
          <w:caps w:val="false"/>
          <w:smallCaps w:val="false"/>
          <w:sz w:val="20"/>
        </w:rPr>
        <w:t>” means any current or former employee, independent contractor, officer or director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Balance Sheet</w:t>
      </w:r>
      <w:r>
        <w:rPr>
          <w:rFonts w:ascii="Times New Roman;Times;Serif" w:hAnsi="Times New Roman;Times;Serif"/>
          <w:b w:val="false"/>
          <w:i w:val="false"/>
          <w:caps w:val="false"/>
          <w:smallCaps w:val="false"/>
          <w:sz w:val="20"/>
        </w:rPr>
        <w:t>” means the unaudited balance sheet of Parent as of March 31, 2026 (the “</w:t>
      </w:r>
      <w:r>
        <w:rPr>
          <w:rFonts w:ascii="Times New Roman;Times;Serif" w:hAnsi="Times New Roman;Times;Serif"/>
          <w:b/>
          <w:i/>
          <w:caps w:val="false"/>
          <w:smallCaps w:val="false"/>
          <w:sz w:val="20"/>
        </w:rPr>
        <w:t>Parent Balance Sheet Date</w:t>
      </w:r>
      <w:r>
        <w:rPr>
          <w:rFonts w:ascii="Times New Roman;Times;Serif" w:hAnsi="Times New Roman;Times;Serif"/>
          <w:b w:val="false"/>
          <w:i w:val="false"/>
          <w:caps w:val="false"/>
          <w:smallCaps w:val="false"/>
          <w:sz w:val="20"/>
        </w:rPr>
        <w:t>”), included in Parent’s Quarterly Report on Form 10-Q for the quarter ended March 31, 2026, as filed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Board</w:t>
      </w:r>
      <w:r>
        <w:rPr>
          <w:rFonts w:ascii="Times New Roman;Times;Serif" w:hAnsi="Times New Roman;Times;Serif"/>
          <w:b w:val="false"/>
          <w:i w:val="false"/>
          <w:caps w:val="false"/>
          <w:smallCaps w:val="false"/>
          <w:sz w:val="20"/>
        </w:rPr>
        <w:t>” means the board of directors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means the Parent Voting Common Stock and Parent Non-Voting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Contract</w:t>
      </w:r>
      <w:r>
        <w:rPr>
          <w:rFonts w:ascii="Times New Roman;Times;Serif" w:hAnsi="Times New Roman;Times;Serif"/>
          <w:b w:val="false"/>
          <w:i w:val="false"/>
          <w:caps w:val="false"/>
          <w:smallCaps w:val="false"/>
          <w:sz w:val="20"/>
        </w:rPr>
        <w:t>” means any Contract: (a) to which Parent or any of its Subsidiaries is a party; (b) by which Parent or any of its Subsidiaries or any Parent IP or any other asset of Parent or any of its Subsidiaries is or may become bound or under which Parent or any of its Subsidiaries has, or may become subject to, any obligation; or (c) under which Parent or any of its Subsidiaries has or may acquire any right or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Convertible Preferred Stock</w:t>
      </w:r>
      <w:r>
        <w:rPr>
          <w:rFonts w:ascii="Times New Roman;Times;Serif" w:hAnsi="Times New Roman;Times;Serif"/>
          <w:b w:val="false"/>
          <w:i w:val="false"/>
          <w:caps w:val="false"/>
          <w:smallCaps w:val="false"/>
          <w:sz w:val="20"/>
        </w:rPr>
        <w:t>” means Parent’s non-voting convertible preferred stock, par value $0.0001 per share, with the rights, preferences, powers and privileges specified in the Certificate of Designation.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Covered Person</w:t>
      </w:r>
      <w:r>
        <w:rPr>
          <w:rFonts w:ascii="Times New Roman;Times;Serif" w:hAnsi="Times New Roman;Times;Serif"/>
          <w:b w:val="false"/>
          <w:i w:val="false"/>
          <w:caps w:val="false"/>
          <w:smallCaps w:val="false"/>
          <w:sz w:val="20"/>
        </w:rPr>
        <w:t>” means, with respect to Parent as an “issuer” for purposes of Rule 506 promulgated under the Securities Act, any Person listed in the first paragraph of Rule 506(d)(1).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Equity Value</w:t>
      </w:r>
      <w:r>
        <w:rPr>
          <w:rFonts w:ascii="Times New Roman;Times;Serif" w:hAnsi="Times New Roman;Times;Serif"/>
          <w:b w:val="false"/>
          <w:i w:val="false"/>
          <w:caps w:val="false"/>
          <w:smallCaps w:val="false"/>
          <w:sz w:val="20"/>
        </w:rPr>
        <w:t>” means $20,000,000.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ERISA Affiliate</w:t>
      </w:r>
      <w:r>
        <w:rPr>
          <w:rFonts w:ascii="Times New Roman;Times;Serif" w:hAnsi="Times New Roman;Times;Serif"/>
          <w:b w:val="false"/>
          <w:i w:val="false"/>
          <w:caps w:val="false"/>
          <w:smallCaps w:val="false"/>
          <w:sz w:val="20"/>
        </w:rPr>
        <w:t>” means any corporation or trade or business (whether or not incorporated) which is (or at any relevant time was) treated with Parent or any of its Subsidiaries as a single employer within the meaning of Section 414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Interim Financial Statements</w:t>
      </w:r>
      <w:r>
        <w:rPr>
          <w:rFonts w:ascii="Times New Roman;Times;Serif" w:hAnsi="Times New Roman;Times;Serif"/>
          <w:b w:val="false"/>
          <w:i w:val="false"/>
          <w:caps w:val="false"/>
          <w:smallCaps w:val="false"/>
          <w:sz w:val="20"/>
        </w:rPr>
        <w:t>” means the unaudited interim financial statements of Parent for the three-month period ending 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IP</w:t>
      </w:r>
      <w:r>
        <w:rPr>
          <w:rFonts w:ascii="Times New Roman;Times;Serif" w:hAnsi="Times New Roman;Times;Serif"/>
          <w:b w:val="false"/>
          <w:i w:val="false"/>
          <w:caps w:val="false"/>
          <w:smallCaps w:val="false"/>
          <w:sz w:val="20"/>
        </w:rPr>
        <w:t>” means all Intellectual Property Rights that are owned or purported to be owned by, assigned to, or exclusively licensed to, Parent or its Subsidiaries.</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Material Adverse Effect</w:t>
      </w:r>
      <w:r>
        <w:rPr>
          <w:rFonts w:ascii="Times New Roman;Times;Serif" w:hAnsi="Times New Roman;Times;Serif"/>
          <w:b w:val="false"/>
          <w:i w:val="false"/>
          <w:caps w:val="false"/>
          <w:smallCaps w:val="false"/>
          <w:sz w:val="20"/>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condition (financial or otherwise), assets, liabilities or results of operations of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Effects arising or resulting from the following shall not be taken into account in determining whether there has been a Parent Material Adverse Effect: (a) general business or economic conditions affecting the industry in which Parent operates,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the taking of any action required to be taken by this Agreement, (e)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(f) any change in, or any compliance with or action taken for the purpose of complying with, any Law or GAAP (or interpretations of any Law or GAAP); (g) resulting from the announcement of this Agreement or the pendency of the Contemplated Transactions; or (h) resulting from the taking of any action or the failure to take any action, by Parent that is required to be taken by this Agreement, except in each case with respect to clauses (a) through (c), to the extent disproportionately affecting Parent relative to other similarly situated companies in the industries in which Parent operates.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Net Cash</w:t>
      </w:r>
      <w:r>
        <w:rPr>
          <w:rFonts w:ascii="Times New Roman;Times;Serif" w:hAnsi="Times New Roman;Times;Serif"/>
          <w:b w:val="false"/>
          <w:i w:val="false"/>
          <w:caps w:val="false"/>
          <w:smallCaps w:val="false"/>
          <w:sz w:val="20"/>
        </w:rPr>
        <w:t>” means, with respect to Parent, (without duplication) in each case as of 11:59 p.m. Eastern Time on June 30, 2026 and as determined in accordance with GAAP, the unrestricted cash or cash equivalents and marketable securities of Parent and its Subsidiaries as reflected on the Parent Net Cash Schedule plus (x) prepaid expenses expected to provide benefit to Parent and its Subsidiaries following the Closing listed on the Parent Net Cash Schedule, minus (y) the sum of (i) total short- and long-term liabilities of Parent and its Subsidiaries accrued at Closing pursuant to GAAP (excluding Parent Transaction Expenses) as reflected on the Parent Net Cash Schedule, and (ii) Parent Transaction Expenses payable by Parent as reflected on the Parent Net Cash Schedule, as applicable. For the avoidance of doubt, the cash and cash equivalents received in the Concurrent Investment are excluded from the calculation of Parent Net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Net Cash Amount</w:t>
      </w:r>
      <w:r>
        <w:rPr>
          <w:rFonts w:ascii="Times New Roman;Times;Serif" w:hAnsi="Times New Roman;Times;Serif"/>
          <w:b w:val="false"/>
          <w:i w:val="false"/>
          <w:caps w:val="false"/>
          <w:smallCaps w:val="false"/>
          <w:sz w:val="20"/>
        </w:rPr>
        <w:t xml:space="preserve">” means (a) $0, if the difference of Parent Net Cash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Parent Target Net Cash is equal to or greater than -$250,000 but less than or equal to $250,000; or (b) the difference of Parent Net Cash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Parent Target Net Cash, if the difference of Parent Net Cash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Parent Target Net Cash, exceeds $250,000 or is less than -$250,000.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Non-Voting Common Stock</w:t>
      </w:r>
      <w:r>
        <w:rPr>
          <w:rFonts w:ascii="Times New Roman;Times;Serif" w:hAnsi="Times New Roman;Times;Serif"/>
          <w:b w:val="false"/>
          <w:i w:val="false"/>
          <w:caps w:val="false"/>
          <w:smallCaps w:val="false"/>
          <w:sz w:val="20"/>
        </w:rPr>
        <w:t>” means the Non-Voting Common Stock, $0.0001 par value per share,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Options</w:t>
      </w:r>
      <w:r>
        <w:rPr>
          <w:rFonts w:ascii="Times New Roman;Times;Serif" w:hAnsi="Times New Roman;Times;Serif"/>
          <w:b w:val="false"/>
          <w:i w:val="false"/>
          <w:caps w:val="false"/>
          <w:smallCaps w:val="false"/>
          <w:sz w:val="20"/>
        </w:rPr>
        <w:t>” means options to purchase shares of Parent Common Stock issued by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Outstanding Shares</w:t>
      </w:r>
      <w:r>
        <w:rPr>
          <w:rFonts w:ascii="Times New Roman;Times;Serif" w:hAnsi="Times New Roman;Times;Serif"/>
          <w:b w:val="false"/>
          <w:i w:val="false"/>
          <w:caps w:val="false"/>
          <w:smallCaps w:val="false"/>
          <w:sz w:val="20"/>
        </w:rPr>
        <w:t>” means the total number of shares of Parent Common Stock outstanding immediately prior to the Effective Time expressed on a fully diluted basis, assuming, without limitation or duplication, the issuance of shares of Parent Common Stock in respect of all Parent Options, Parent RSUs, Parent Warrants, or other rights to receive shares, whether conditional or unconditional, that will be outstanding as of immediately prior to the Effective Time and expressly excluding (a) any Parent Options with an exercise price (i) greater than $3.33, or (ii) less than or equal to $3.33 that would not have vested by October 31, 2026 if the applicable grantee was still employed or engaged to provide services by the Parent on October 31, 2026, (b) Parent Warrants issued pursuant to the Warrant Agreement, dated November 19, 2019, between Continental Stock Transfer &amp; Trust Company, as warrant agent, and Parent, and (c) any shares of Parent Common Stock issued or issuable in connection with the Concurrent Investment.</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 xml:space="preserve">Parent Representative Confirmation Letters” </w:t>
      </w:r>
      <w:r>
        <w:rPr>
          <w:rFonts w:ascii="Times New Roman;Times;Serif" w:hAnsi="Times New Roman;Times;Serif"/>
          <w:b w:val="false"/>
          <w:i w:val="false"/>
          <w:caps w:val="false"/>
          <w:smallCaps w:val="false"/>
          <w:sz w:val="20"/>
        </w:rPr>
        <w:t>means written confirmations, in a form reasonably satisfactory to the Company, from the attorneys, accountants, investment bankers and other professional advisors of Parent as to all amounts estimated in good faith owed by Parent with respect to services performed by them through the Closing (or following the Closing at the pre-Closing direction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RSU</w:t>
      </w:r>
      <w:r>
        <w:rPr>
          <w:rFonts w:ascii="Times New Roman;Times;Serif" w:hAnsi="Times New Roman;Times;Serif"/>
          <w:b w:val="false"/>
          <w:i w:val="false"/>
          <w:caps w:val="false"/>
          <w:smallCaps w:val="false"/>
          <w:sz w:val="20"/>
        </w:rPr>
        <w:t>” means restricted stock units with respect to, or that may be settled in, shares of Parent Common Stock issued by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Stock Plan</w:t>
      </w:r>
      <w:r>
        <w:rPr>
          <w:rFonts w:ascii="Times New Roman;Times;Serif" w:hAnsi="Times New Roman;Times;Serif"/>
          <w:b w:val="false"/>
          <w:i w:val="false"/>
          <w:caps w:val="false"/>
          <w:smallCaps w:val="false"/>
          <w:sz w:val="20"/>
        </w:rPr>
        <w:t>” means the Jasper Therapeutics, Inc. 2024 Equity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Target Net Cash</w:t>
      </w:r>
      <w:r>
        <w:rPr>
          <w:rFonts w:ascii="Times New Roman;Times;Serif" w:hAnsi="Times New Roman;Times;Serif"/>
          <w:b w:val="false"/>
          <w:i w:val="false"/>
          <w:caps w:val="false"/>
          <w:smallCaps w:val="false"/>
          <w:sz w:val="20"/>
        </w:rPr>
        <w:t>” means $0.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Transaction Expenses</w:t>
      </w:r>
      <w:r>
        <w:rPr>
          <w:rFonts w:ascii="Times New Roman;Times;Serif" w:hAnsi="Times New Roman;Times;Serif"/>
          <w:b w:val="false"/>
          <w:i w:val="false"/>
          <w:caps w:val="false"/>
          <w:smallCaps w:val="false"/>
          <w:sz w:val="20"/>
        </w:rPr>
        <w:t xml:space="preserve">” means, with respect to Parent, the aggregate amount (without duplication), calculated as of the Effective Time, of (a) the cash cost of any change of control payments, retention payments, severance payments, transaction payments or similar payments that are or would be due to any current or former employee, officer, director or independent contractor of such Person or any of its Subsidiaries as a result of (x) the termination of any applicable employment arrangement with such Person or (y) the consummation of the Contemplated Transactions, and that are unpaid as of the Closing (plus the employer portion of all employment, unemployment, payroll and similar Taxes payable thereon), but excluding for the avoidance of doubt, the vesting, exercise and settlement, as applicable of options or restricted stock units, (b) any costs, fees and expenses incurred by or estimated to be incurred by Parent or its Subsidiaries (including Merger Sub), or for which such Person or its Subsidiaries are or may become liable,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and the consummation of the Contemplated Transactions and that are unpaid as of the Closing, including brokerage fees and commissions, finders’ fees or financial advisory fees, or any fees and expenses of counsel, accountants, investment bankers, brokers, consultants, Tax advisors, transfer agents, and other advisors payable by such Person or its Subsidiaries, and (c) any payments to third parties under any Contract to which Parent or its Subsidiaries are a party triggered by the consummation of the Contemplated Transactions, or any payment or consideration arising under or in relation to obtaining any consents, waivers or approvals of any third party under any Contract to which such Person or its Subsidiaries are a party required to be obtained in connection with the consummation of the Contemplated Transactions in order for any such contract to remain in full force and effect following the Closing or resulting from agreed-upon modification or early termination of any such contract;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Transaction Expenses” shall not include any costs, fees or expenses incurred in connection with the Concurrent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Valuation</w:t>
      </w:r>
      <w:r>
        <w:rPr>
          <w:rFonts w:ascii="Times New Roman;Times;Serif" w:hAnsi="Times New Roman;Times;Serif"/>
          <w:b w:val="false"/>
          <w:i w:val="false"/>
          <w:caps w:val="false"/>
          <w:smallCaps w:val="false"/>
          <w:sz w:val="20"/>
        </w:rPr>
        <w:t>” means (i) the Parent Equity Value plus (ii) the Parent Net Cash Amount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Voting Common Stock</w:t>
      </w:r>
      <w:r>
        <w:rPr>
          <w:rFonts w:ascii="Times New Roman;Times;Serif" w:hAnsi="Times New Roman;Times;Serif"/>
          <w:b w:val="false"/>
          <w:i w:val="false"/>
          <w:caps w:val="false"/>
          <w:smallCaps w:val="false"/>
          <w:sz w:val="20"/>
        </w:rPr>
        <w:t>” means the Voting Common Stock, $0.0001 par value per share,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Warrants</w:t>
      </w:r>
      <w:r>
        <w:rPr>
          <w:rFonts w:ascii="Times New Roman;Times;Serif" w:hAnsi="Times New Roman;Times;Serif"/>
          <w:b w:val="false"/>
          <w:i w:val="false"/>
          <w:caps w:val="false"/>
          <w:smallCaps w:val="false"/>
          <w:sz w:val="20"/>
        </w:rPr>
        <w:t>” means warrants to purchase shares of capital stock of Parent issued by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means the Company, Merger Sub, and Parent.</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Encumbrance</w:t>
      </w:r>
      <w:r>
        <w:rPr>
          <w:rFonts w:ascii="Times New Roman;Times;Serif" w:hAnsi="Times New Roman;Times;Serif"/>
          <w:b w:val="false"/>
          <w:i w:val="false"/>
          <w:caps w:val="false"/>
          <w:smallCaps w:val="false"/>
          <w:sz w:val="20"/>
        </w:rPr>
        <w:t>” means: (a) any Encumbrance for current Taxes not yet due and payable or for Taxes that are being contested in good faith and, in each case, for which adequate reserves have been made on the Company Unaudited Interim Balance Sheet or the Parent Balance Sheet, as applicable, in accordance with GAAP; (b) minor liens that have arisen in the Ordinary Course of Business and that do not (in any case or in the aggregate) materially detract from the value of the assets or properties subject thereto or materially impair the operations of the Company or any of its Subsidiaries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any of its Subsidiaries or Parent, as applicable,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Plan of Merger</w:t>
      </w:r>
      <w:r>
        <w:rPr>
          <w:rFonts w:ascii="Times New Roman;Times;Serif" w:hAnsi="Times New Roman;Times;Serif"/>
          <w:b w:val="false"/>
          <w:i w:val="false"/>
          <w:caps w:val="false"/>
          <w:smallCaps w:val="false"/>
          <w:sz w:val="20"/>
        </w:rPr>
        <w:t>” means the Plan of Merger substantially in the form attached hereto as </w:t>
      </w:r>
      <w:r>
        <w:rPr>
          <w:rFonts w:ascii="Times New Roman;Times;Serif" w:hAnsi="Times New Roman;Times;Serif"/>
          <w:b/>
          <w:i w:val="false"/>
          <w:caps w:val="false"/>
          <w:smallCaps w:val="false"/>
          <w:sz w:val="20"/>
        </w:rPr>
        <w:t>Exhibit H</w:t>
      </w:r>
      <w:r>
        <w:rPr>
          <w:rFonts w:ascii="Times New Roman;Times;Serif" w:hAnsi="Times New Roman;Times;Serif"/>
          <w:b w:val="false"/>
          <w:i w:val="false"/>
          <w:caps w:val="false"/>
          <w:smallCaps w:val="false"/>
          <w:sz w:val="20"/>
        </w:rPr>
        <w:t>, to be executed and delivered by the Company and Merger Sub under the Companies Act as provided by the terms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Post-Closing Parent Shares</w:t>
      </w:r>
      <w:r>
        <w:rPr>
          <w:rFonts w:ascii="Times New Roman;Times;Serif" w:hAnsi="Times New Roman;Times;Serif"/>
          <w:b w:val="false"/>
          <w:i w:val="false"/>
          <w:caps w:val="false"/>
          <w:smallCaps w:val="false"/>
          <w:sz w:val="20"/>
        </w:rPr>
        <w:t>” mean the quotient determined by dividing (a) the Parent Outstanding Shares by (b) the Parent Allocation Percentage.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Registered IP</w:t>
      </w:r>
      <w:r>
        <w:rPr>
          <w:rFonts w:ascii="Times New Roman;Times;Serif" w:hAnsi="Times New Roman;Times;Serif"/>
          <w:b w:val="false"/>
          <w:i w:val="false"/>
          <w:caps w:val="false"/>
          <w:smallCaps w:val="false"/>
          <w:sz w:val="20"/>
        </w:rPr>
        <w:t>” means all Intellectual Property Rights that are registered or issued under the authority of, with or by any Governmental Body, including all patents, registered copyrights, registered mask works, and registered trademarks, service marks and trade dress, and all applications for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Regulatory Laws</w:t>
      </w:r>
      <w:r>
        <w:rPr>
          <w:rFonts w:ascii="Times New Roman;Times;Serif" w:hAnsi="Times New Roman;Times;Serif"/>
          <w:b w:val="false"/>
          <w:i w:val="false"/>
          <w:caps w:val="false"/>
          <w:smallCaps w:val="false"/>
          <w:sz w:val="20"/>
        </w:rPr>
        <w:t>” means any United States federal, state, local or foreign Law, statute, standard, ordinance, code, rule, regulation or any governmental order, or any similar provision having the force or effect of Law, relating in each of the foregoing cases to any product regulated by FDA, including but not limited those regarding non-clinical testing, clinical research, marketing clearance or approval, establishment registration, drug and device listing, good manufacturing practices, record-keeping, adverse event reporting, and reporting of corrections and removals, including but not limited to the Food, Drug, and Cosmetic Act (21 U.S.C. § 301 et seq.); the Public Health Service Act, (42 U.S.C. § 201 et seq.), any and all amendments thereto, and an all regulations promulgated thereunder, and any similar state and local Laws that address the subject matter of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directors, officers, employees, agents, attorneys, accountants, investment bankers, advisors and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Sanctions Laws</w:t>
      </w:r>
      <w:r>
        <w:rPr>
          <w:rFonts w:ascii="Times New Roman;Times;Serif" w:hAnsi="Times New Roman;Times;Serif"/>
          <w:b w:val="false"/>
          <w:i w:val="false"/>
          <w:caps w:val="false"/>
          <w:smallCaps w:val="false"/>
          <w:sz w:val="20"/>
        </w:rPr>
        <w:t>” means all Laws concerning embargoes, economic sanctions, export restrictions, the ability to make or receive international payments, the ability to engage in international transactions, or the ability to take an ownership interest in assets located in a foreign country, administered or enforced by the U.S. Department of the Treasury, the U.S. Department of State, the United Nations Security Council, the European Union or any European Union member state, Her Majesty’s Treasury of the United Kingdom, and any other relevant sanctions authority (collectively, the “</w:t>
      </w:r>
      <w:r>
        <w:rPr>
          <w:rFonts w:ascii="Times New Roman;Times;Serif" w:hAnsi="Times New Roman;Times;Serif"/>
          <w:b/>
          <w:i/>
          <w:caps w:val="false"/>
          <w:smallCaps w:val="false"/>
          <w:sz w:val="20"/>
        </w:rPr>
        <w:t>Sanctions Authorities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Sanctions Target</w:t>
      </w:r>
      <w:r>
        <w:rPr>
          <w:rFonts w:ascii="Times New Roman;Times;Serif" w:hAnsi="Times New Roman;Times;Serif"/>
          <w:b w:val="false"/>
          <w:i w:val="false"/>
          <w:caps w:val="false"/>
          <w:smallCaps w:val="false"/>
          <w:sz w:val="20"/>
        </w:rPr>
        <w:t>” means any Person with whom dealings are restricted or prohibited by Sanctions Laws, including: (a) any Person identified in any sanctions list maintained by any Sanctions Authority, including, without limitation, the sanctions lists maintained by the U.S. Department of the Treasury, Office of Foreign Assets Control (a “</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(b) any Person located, organized, or resident in a country or territory subject to comprehensive sanctions under Sanctions Laws (including, currently, the Crimea, Donetsk, and Luhansk regions of Ukraine, Cuba, Iran, and North Korea) (all such countries and territories, “</w:t>
      </w:r>
      <w:r>
        <w:rPr>
          <w:rFonts w:ascii="Times New Roman;Times;Serif" w:hAnsi="Times New Roman;Times;Serif"/>
          <w:b/>
          <w:i/>
          <w:caps w:val="false"/>
          <w:smallCaps w:val="false"/>
          <w:sz w:val="20"/>
        </w:rPr>
        <w:t>Sanctioned Countries</w:t>
      </w:r>
      <w:r>
        <w:rPr>
          <w:rFonts w:ascii="Times New Roman;Times;Serif" w:hAnsi="Times New Roman;Times;Serif"/>
          <w:b w:val="false"/>
          <w:i w:val="false"/>
          <w:caps w:val="false"/>
          <w:smallCaps w:val="false"/>
          <w:sz w:val="20"/>
        </w:rPr>
        <w:t xml:space="preserve">”); and (c) any Person directly or indirectly fifty percent (50%) or more owned or controlled by, or acting for the benefit or on behalf of, an individual or entity described in (a) or (b). </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Security Incident</w:t>
      </w:r>
      <w:r>
        <w:rPr>
          <w:rFonts w:ascii="Times New Roman;Times;Serif" w:hAnsi="Times New Roman;Times;Serif"/>
          <w:b w:val="false"/>
          <w:i w:val="false"/>
          <w:caps w:val="false"/>
          <w:smallCaps w:val="false"/>
          <w:sz w:val="20"/>
        </w:rPr>
        <w:t>” means any successful unauthorized or unlawful access, acquisition, exfiltration, erasure, loss, use or disclosure that compromises the confidentiality, integrity, availability or security of Sensitive Data or any computer systems, software, networks and platforms, including instances of unauthorized receipt or processing of Sensitive Data and any ransomware attacks or other cyber attacks that prevent or materially degrade access to Sensitive Data or any computer systems, software, networks or platforms.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shall be deemed to be a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Takeover Statute</w:t>
      </w:r>
      <w:r>
        <w:rPr>
          <w:rFonts w:ascii="Times New Roman;Times;Serif" w:hAnsi="Times New Roman;Times;Serif"/>
          <w:b w:val="false"/>
          <w:i w:val="false"/>
          <w:caps w:val="false"/>
          <w:smallCaps w:val="false"/>
          <w:sz w:val="20"/>
        </w:rPr>
        <w:t>” means any “fair price,” “moratorium,” “control share acquisition” or other similar anti-takeover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means any (a)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escheat, property, business, production, sales, use, license, excise, franchise, employment, payroll, social security, disability, unemployment, workers’ compensation, national health insurance, withholding (on amounts paid or received) or other taxes, duties, assessments or governmental charges, surtaxes or deficiencies thereof in the nature of a tax, however denominated (whether imposed directly or through withholding and whether or not disputed), and including any fine, penalty, addition to tax, or interest or additional amount imposed by a Governmental Body with respect thereto (or attributable to the nonpayment thereof) and (b) any liability for payment of amounts described in clause (a) whether as a result of transferee or successor liability, of being a member of an affiliated, consolidated, combined or unitary group for any period, pursuant to a Contract, through operation of Law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(including any information return), report, statement, declaration, claim for refund, estimate, schedule, notice, notification, form, election, certificate or other document, and any amendment or supplement to any of the foregoing, filed with or submitted to, or required to be filed with or submitted to, any Governmental Body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United States Treasury regulations promulgated under the Code.</w:t>
      </w:r>
    </w:p>
    <w:p>
      <w:pPr>
        <w:pStyle w:val="TextBody"/>
        <w:bidi w:val="0"/>
        <w:spacing w:before="0" w:after="0"/>
        <w:ind w:left="0" w:right="0" w:firstLine="72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 Company</w:t>
      </w:r>
      <w:r>
        <w:rPr>
          <w:rFonts w:ascii="Times New Roman;Times;Serif" w:hAnsi="Times New Roman;Times;Serif"/>
          <w:b w:val="false"/>
          <w:i w:val="false"/>
          <w:caps w:val="false"/>
          <w:smallCaps w:val="false"/>
          <w:sz w:val="20"/>
        </w:rPr>
        <w:t>” means Kira Pharmaceuticals (US) LLC, a Delaware limited liability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WARN Act</w:t>
      </w:r>
      <w:r>
        <w:rPr>
          <w:rFonts w:ascii="Times New Roman;Times;Serif" w:hAnsi="Times New Roman;Times;Serif"/>
          <w:b w:val="false"/>
          <w:i w:val="false"/>
          <w:caps w:val="false"/>
          <w:smallCaps w:val="false"/>
          <w:sz w:val="20"/>
        </w:rPr>
        <w:t>” means the Worker Adjustment Retraining and Notification Act of 1988, as amended, or any similar state or local plant closing mass layoff statute, rule or regulation.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terms is defined in the Section set forth opposite such term:</w:t>
      </w:r>
    </w:p>
    <w:p>
      <w:pPr>
        <w:pStyle w:val="TextBody"/>
        <w:bidi w:val="0"/>
        <w:spacing w:before="0" w:after="0"/>
        <w:ind w:left="0" w:right="0" w:firstLine="720"/>
        <w:jc w:val="left"/>
        <w:rPr>
          <w:caps w:val="false"/>
          <w:smallCaps w:val="false"/>
        </w:rPr>
      </w:pPr>
      <w:r>
        <w:rPr>
          <w:caps w:val="false"/>
          <w:smallCaps w:val="false"/>
        </w:rPr>
        <w:t> </w:t>
      </w:r>
    </w:p>
    <w:tbl>
      <w:tblPr>
        <w:tblW w:w="3940" w:type="dxa"/>
        <w:jc w:val="left"/>
        <w:tblInd w:w="0" w:type="dxa"/>
        <w:tblLayout w:type="fixed"/>
        <w:tblCellMar>
          <w:top w:w="0" w:type="dxa"/>
          <w:left w:w="0" w:type="dxa"/>
          <w:bottom w:w="28" w:type="dxa"/>
          <w:right w:w="0" w:type="dxa"/>
        </w:tblCellMar>
      </w:tblPr>
      <w:tblGrid>
        <w:gridCol w:w="3050"/>
        <w:gridCol w:w="60"/>
        <w:gridCol w:w="830"/>
      </w:tblGrid>
      <w:tr>
        <w:trPr/>
        <w:tc>
          <w:tcPr>
            <w:tcW w:w="3050" w:type="dxa"/>
            <w:tcBorders>
              <w:bottom w:val="single" w:sz="12" w:space="0" w:color="000000"/>
            </w:tcBorders>
            <w:vAlign w:val="center"/>
          </w:tcPr>
          <w:p>
            <w:pPr>
              <w:pStyle w:val="TableContents"/>
              <w:bidi w:val="0"/>
              <w:spacing w:before="0" w:after="283"/>
              <w:jc w:val="left"/>
              <w:rPr/>
            </w:pPr>
            <w:r>
              <w:rPr>
                <w:b/>
              </w:rPr>
              <w:t>Term</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center"/>
              <w:rPr/>
            </w:pPr>
            <w:r>
              <w:rPr>
                <w:b/>
              </w:rPr>
              <w:t>Section</w:t>
            </w:r>
            <w:r>
              <w:rPr/>
              <w:t xml:space="preserve"> </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ACA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2.17(c)</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Allocation Certificate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4.14(a)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Anti-Bribery Laws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2.23</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Book-Entry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1.7</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Business Associate Agreements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2.14(k)</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Cash Determination Time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1.11</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Cayman Merger Documents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1.3</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Cayman Registrar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1.3</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Certificate of Merger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1.3</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Certifications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3.7(a)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Closing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1.3</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Closing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1.3</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Companies Act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Recitals</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Preamble</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Benefit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2.17(a)</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 Board Designee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4.11</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Disclosure Schedule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 Financials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2.7(a)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In-bound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2.12(d)</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 Material Contract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2.13(a)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Material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2.13(a)</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 Out-bound License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2.12(d)</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Permits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2.14(d)</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2.6(c)</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Real Estate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2.11</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 Regulatory Authorizations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2.14(e)</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Shareholder Matters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4.1(a)(a)</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Company Shareholder Meeting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4.1(a)(b)</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Company Signatories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Recitals</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Concurrent 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Recitals</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Continuing Employees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4.4(a)</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4.5(a)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CVR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1.12(a)</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CVR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1.12(a)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D&amp;O Indemnified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4.5(a)</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Disqualifying Event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3.25</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Dissenting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1.9(a)</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Drug Regulatory Agency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2.14(a)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Effective Time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1.3</w:t>
            </w:r>
          </w:p>
        </w:tc>
      </w:tr>
      <w:tr>
        <w:trPr/>
        <w:tc>
          <w:tcPr>
            <w:tcW w:w="3050" w:type="dxa"/>
            <w:tcBorders/>
            <w:shd w:fill="FFFFFF" w:val="clear"/>
            <w:tcMar>
              <w:bottom w:w="0" w:type="dxa"/>
            </w:tcMar>
            <w:vAlign w:val="center"/>
          </w:tcPr>
          <w:p>
            <w:pPr>
              <w:pStyle w:val="TableContents"/>
              <w:bidi w:val="0"/>
              <w:spacing w:before="0" w:after="283"/>
              <w:jc w:val="left"/>
              <w:rPr>
                <w:sz w:val="20"/>
              </w:rPr>
            </w:pPr>
            <w:r>
              <w:rPr>
                <w:sz w:val="20"/>
              </w:rPr>
              <w:t>Exchange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sz w:val="20"/>
              </w:rPr>
            </w:pPr>
            <w:r>
              <w:rPr>
                <w:sz w:val="20"/>
              </w:rPr>
              <w:t>1.8(a)</w:t>
            </w:r>
          </w:p>
        </w:tc>
      </w:tr>
      <w:tr>
        <w:trPr/>
        <w:tc>
          <w:tcPr>
            <w:tcW w:w="3050" w:type="dxa"/>
            <w:tcBorders/>
            <w:shd w:fill="CCEEFF" w:val="clear"/>
            <w:tcMar>
              <w:bottom w:w="0" w:type="dxa"/>
            </w:tcMar>
            <w:vAlign w:val="center"/>
          </w:tcPr>
          <w:p>
            <w:pPr>
              <w:pStyle w:val="TableContents"/>
              <w:bidi w:val="0"/>
              <w:spacing w:before="0" w:after="283"/>
              <w:jc w:val="left"/>
              <w:rPr>
                <w:sz w:val="20"/>
              </w:rPr>
            </w:pPr>
            <w:r>
              <w:rPr>
                <w:sz w:val="20"/>
              </w:rPr>
              <w:t>Exchange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1.8(a)</w:t>
            </w:r>
          </w:p>
        </w:tc>
      </w:tr>
    </w:tbl>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28" w:type="dxa"/>
          <w:right w:w="0" w:type="dxa"/>
        </w:tblCellMar>
      </w:tblPr>
      <w:tblGrid>
        <w:gridCol w:w="3425"/>
        <w:gridCol w:w="60"/>
        <w:gridCol w:w="830"/>
      </w:tblGrid>
      <w:tr>
        <w:trPr/>
        <w:tc>
          <w:tcPr>
            <w:tcW w:w="3425" w:type="dxa"/>
            <w:tcBorders>
              <w:bottom w:val="single" w:sz="12" w:space="0" w:color="000000"/>
            </w:tcBorders>
            <w:vAlign w:val="center"/>
          </w:tcPr>
          <w:p>
            <w:pPr>
              <w:pStyle w:val="TableContents"/>
              <w:bidi w:val="0"/>
              <w:spacing w:before="0" w:after="283"/>
              <w:jc w:val="left"/>
              <w:rPr/>
            </w:pPr>
            <w:r>
              <w:rPr>
                <w:b/>
              </w:rPr>
              <w:t>Term</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ind w:left="0" w:right="0" w:hanging="200"/>
              <w:jc w:val="center"/>
              <w:rPr/>
            </w:pPr>
            <w:r>
              <w:rPr>
                <w:b/>
              </w:rPr>
              <w:t>Section</w:t>
            </w:r>
            <w:r>
              <w:rPr/>
              <w:t xml:space="preserve"> </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FDA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2.14(a)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FLSA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2.17(n)</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GCP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2.14(i)</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GLP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2.14(i)</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HHS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2.14(a)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HIPAA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2.14(k)</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Intended Tax Treatment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4.9(a)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Investor Agreements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2.21(b)</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LAS Notification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4.8</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2.9</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Lock-Up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Recitals</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Recitals</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Merger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1.5</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Merger Sub</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Preamble</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Notice of Meeting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4.1</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Preamble</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Benefit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3.17(a)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Common Stock Consideration Cap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1.5</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Common Stock Payment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1.5</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Disclosure Schedule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3</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Foreign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3.17(m)</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In-bound License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3.12(d)</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Material Contract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3.13(a)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Material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3.13(a)</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Net Cash Calculation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1.11</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Net Cash Schedule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1.11</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Out-bound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3.12(d)</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Outstanding Shares Certificate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4.13(b)</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Permits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3.14(c)</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Preferred Stock Payment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1.5</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Real Estate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3.11</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Regulatory Authorizations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3.14(e)</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SEC Documents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3.7(a)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Signatories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Recitals</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Stockholder Matters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4.2(a)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Parent Stockholder Support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Recitals</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Parent Stockholders’ Meeting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4.2(a)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PIPE Purchase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Recitals</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Post-Closing Plans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4.4(a)</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Preferred Consent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2.4</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Preferred Stock Conversion Proposal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1.5</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Proxy Statement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4.7(a)a</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Required Company Shareholder Vote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2.4</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Required Parent Stockholder Vote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3.4</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Sensitive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2.12(g)</w:t>
            </w:r>
          </w:p>
        </w:tc>
      </w:tr>
      <w:tr>
        <w:trPr/>
        <w:tc>
          <w:tcPr>
            <w:tcW w:w="3425" w:type="dxa"/>
            <w:tcBorders/>
            <w:shd w:fill="FFFFFF" w:val="clear"/>
            <w:tcMar>
              <w:bottom w:w="0" w:type="dxa"/>
            </w:tcMar>
            <w:vAlign w:val="center"/>
          </w:tcPr>
          <w:p>
            <w:pPr>
              <w:pStyle w:val="TableContents"/>
              <w:bidi w:val="0"/>
              <w:spacing w:before="0" w:after="283"/>
              <w:jc w:val="left"/>
              <w:rPr>
                <w:sz w:val="20"/>
              </w:rPr>
            </w:pPr>
            <w:r>
              <w:rPr>
                <w:sz w:val="20"/>
              </w:rPr>
              <w:t>Surviving 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ind w:left="0" w:right="0" w:hanging="200"/>
              <w:jc w:val="center"/>
              <w:rPr>
                <w:sz w:val="20"/>
              </w:rPr>
            </w:pPr>
            <w:r>
              <w:rPr>
                <w:sz w:val="20"/>
              </w:rPr>
              <w:t>1.1</w:t>
            </w:r>
          </w:p>
        </w:tc>
      </w:tr>
      <w:tr>
        <w:trPr/>
        <w:tc>
          <w:tcPr>
            <w:tcW w:w="3425" w:type="dxa"/>
            <w:tcBorders/>
            <w:shd w:fill="CCEEFF" w:val="clear"/>
            <w:tcMar>
              <w:bottom w:w="0" w:type="dxa"/>
            </w:tcMar>
            <w:vAlign w:val="center"/>
          </w:tcPr>
          <w:p>
            <w:pPr>
              <w:pStyle w:val="TableContents"/>
              <w:bidi w:val="0"/>
              <w:spacing w:before="0" w:after="283"/>
              <w:jc w:val="left"/>
              <w:rPr>
                <w:sz w:val="20"/>
              </w:rPr>
            </w:pPr>
            <w:r>
              <w:rPr>
                <w:sz w:val="20"/>
              </w:rPr>
              <w:t>Withholding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sz w:val="20"/>
              </w:rPr>
            </w:pPr>
            <w:r>
              <w:rPr>
                <w:sz w:val="20"/>
              </w:rPr>
              <w:t>1.14</w:t>
            </w:r>
          </w:p>
        </w:tc>
      </w:tr>
    </w:tbl>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Bridge Pkwy, Suite #102</w:t>
        <w:br/>
        <w:t>Redwood City, CA 94065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signatory of this lock-up agreement (this “</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 understands that Jasper Therapeutics,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has entered into an Agreement and Plan of Merger, dated as of July 16, 2026 (as the same may be amended from time to time,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with Kira HoldCo Inc., a Delaware corporation and a wholly owned subsidiary of Parent, and Kira Therapeutics, a Cayman Islands exempted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Capitalized terms used but not otherwise defined herein shall have the respective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As a condition and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Parent and, solely prior to the Closing, the Company, the undersigned will not, during the period commencing upon the Closing and ending on the date that is 180 days after the Closing Date (the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provided, that, this Lock-Up Agreement shall terminate immediately upon the undersigned’s termination of employment with, or termination of service as a director of, Parent or its subsidiaries (as applicable):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Parent Common Stock (including without limitation, Parent Common Stock or such other securities which may be deemed to be beneficially owned by the undersigned in accordance with the rules and regulations of the SEC and securities of Parent which may be issued upon exercise of an option to purchase Parent Common Stock or warrant or settlement of a Parent restricted stock unit) that are currently or hereafter owned by the undersigned (collectively, the “</w:t>
      </w:r>
      <w:r>
        <w:rPr>
          <w:rFonts w:ascii="Times New Roman;Times;Serif" w:hAnsi="Times New Roman;Times;Serif"/>
          <w:b/>
          <w:i/>
          <w:caps w:val="false"/>
          <w:smallCaps w:val="false"/>
          <w:sz w:val="20"/>
        </w:rPr>
        <w:t>Undersigned’s Shares</w:t>
      </w:r>
      <w:r>
        <w:rPr>
          <w:rFonts w:ascii="Times New Roman;Times;Serif" w:hAnsi="Times New Roman;Times;Serif"/>
          <w:b w:val="false"/>
          <w:i w:val="false"/>
          <w:caps w:val="false"/>
          <w:smallCaps w:val="false"/>
          <w:sz w:val="20"/>
        </w:rPr>
        <w:t>”), or publicly disclose the intention to make any such offer, sale, pledge, grant, transfer or disposition;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or other securities, in cash or otherwise;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make any demand for, or exercise any right with respect to, the registration of any shares of Parent Common Stock or any security convertible into or exercisable or exchangeable for Parent Common Stock (other than such rights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restrictions and obligations contemplated by this Lock-Up Agreement shall not apply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transfers of the Undersigned’s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if the undersigned is a natural person, (A) to any person related to the undersigned by blood or adoption who is an immediate family member of the undersigned, or by marriage or domestic partnership (a “</w:t>
      </w:r>
      <w:r>
        <w:rPr>
          <w:rFonts w:ascii="Times New Roman;Times;Serif" w:hAnsi="Times New Roman;Times;Serif"/>
          <w:b/>
          <w:i/>
          <w:caps w:val="false"/>
          <w:smallCaps w:val="false"/>
          <w:sz w:val="20"/>
        </w:rPr>
        <w:t>Family Member</w:t>
      </w:r>
      <w:r>
        <w:rPr>
          <w:rFonts w:ascii="Times New Roman;Times;Serif" w:hAnsi="Times New Roman;Times;Serif"/>
          <w:b w:val="false"/>
          <w:i w:val="false"/>
          <w:caps w:val="false"/>
          <w:smallCaps w:val="false"/>
          <w:sz w:val="20"/>
        </w:rPr>
        <w:t>”), or to a trust formed for the benefit of the undersigned or any of the undersigned’s Family Members, (B) to the undersigned’s estate, following the death of the undersigned, by will, intestacy or other operation of Law, (C) as a bona fide gift or a charitable contribution, or for bona fide estate planning purposes, (D) by operation of Law pursuant to a qualified domestic order or in connection with a divorce settlement or (E) to any partnership, corporation, limited liability company or other entity which is controlled by the undersigned and/or by any such Family Member(s), or (F) to a nominee or custodian of a person or entity to whom a disposition or transfer would be permissible under clauses (A) through (E)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if the undersigned is a corporation, partnership or other Entity, (A) to another corporation, partnership, or other Entity that is an affiliate (as defined under Rule 12b-2 of the Exchange Act) of the undersigned, including investment funds or other entities that control or manage, are under common control or management with, or are controlled or managed by, the undersigned (including, for the avoidance of doubt, a fund managed by the same manager, managing member, general partner or management company or by an Entity controlling, controlled by or under common control with such manager, managing member, general partner or management company of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 xml:space="preserve">if the undersigned is a trust, to any grantors or beneficiaries of the trust;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case of any transfer or distribution pursuant to this clause (a), such transfer is not for value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the exercise of an option to purchase Parent Common Stock (including a net or cashless exercise of an option to purchase Parent Common Stock), and any related transfer of shares of Parent Common Stock to Parent for the purpose of paying the exercise price of such options or for paying taxes (including estimated taxes) due as a result of the exercise of such options;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for the avoidance of doubt, the underlying shares of Parent Common Stock shall continue to be subject to the restrictions on transfer set forth in this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disposition (including a forfeiture or repurchase) to Parent of any shares of restricted stock granted pursuant to the terms of any employee benefit plan or restricted stock purchase agreement or any other transfer of securities of Parent to Parent pursuant to arrangements under which Parent has the option or obligation to repurchase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transfers to Parent in connection with the net settlement of any restricted stock unit or other equity award that represents the right to receive in the future shares of Parent Common Stock settled in Parent Common Stock to pay any tax withholding obligations;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for the avoidance of doubt, the underlying shares of Parent Common Stock shall continue to be subject to the restrictions on transfer set forth in this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the establishment of a trading plan pursuant to Rule 10b5-1 under the Exchange Act for the transfer of Parent Common Stock;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such plan does not provide for any transfers of Parent Common Stock during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transfers or sales by the undersigned of shares of Parent Common Stock purchased by the undersigned on the open market or in a public offering by Parent, in each case following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 xml:space="preserve">pursuant to a bona-fide third party tender offer, merger, consolidation or other similar transaction made to all holders of Parent’s capital stock involving a change of control of Parent,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in the event that such tender offer, merger, consolidation or other such transaction is not completed, the Undersigned’s Shares shall remain subject to the restrictions contained in this Lock-Up Agreement;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pursuant to an order of a court or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with respect to each of (a), (b), (c), (d) and (e)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Parent Common Stock or in connection with the net settlement of any restricted stock unit or other equity award that represents the right to receive in the future shares of Parent Common Stock settled in Parent Common Stock that would otherwise expire during the Restricted Period,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reasonable notice shall be provided to Parent prior to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AND MAY ONLY BE TRANSFERRED IN COMPLIANCE WITH A LOCK-UP AGREEMENT, A COPY OF WHICH IS ON FILE AT THE PRINCIPAL OFFICE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The undersigned understands that if the Merger Agreement is terminated for any reason, this Lock-Up Agreement will automatically terminate and the undersigned shall be released from all obligations under this Lock-Up Agreement. The undersigned understands that Parent and the Company are proceeding with the Contemplated Transactions in reliance upon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val="false"/>
          <w:i w:val="false"/>
          <w:caps w:val="false"/>
          <w:smallCaps w:val="false"/>
          <w:sz w:val="20"/>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would occur to Parent and/or the Company in the event that any provision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val="false"/>
          <w:i w:val="false"/>
          <w:caps w:val="false"/>
          <w:smallCaps w:val="false"/>
          <w:sz w:val="20"/>
        </w:rPr>
        <w:t>In the event that any holder of Parent securities that are subject to a substantially similar agreement entered into by such holder, other than the undersigned, is permitted by Parent to sell or otherwise transfer or dispose of shares of Parent Common Stock for value other than as permitted by this or a substantially similar agreement entered into by such holder, the same percentage of shares of Parent Common Stock held by the undersigned shall be immediately and fully released on the same terms from any remaining restrictions set forth herein (the “</w:t>
      </w:r>
      <w:r>
        <w:rPr>
          <w:rFonts w:ascii="Times New Roman;Times;Serif" w:hAnsi="Times New Roman;Times;Serif"/>
          <w:b/>
          <w:i/>
          <w:caps w:val="false"/>
          <w:smallCaps w:val="false"/>
          <w:sz w:val="20"/>
        </w:rPr>
        <w:t>Pro-Rata Release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originally subject to a substantially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val="false"/>
          <w:i w:val="false"/>
          <w:caps w:val="false"/>
          <w:smallCaps w:val="false"/>
          <w:sz w:val="20"/>
        </w:rPr>
        <w:t>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val="false"/>
          <w:i w:val="false"/>
          <w:caps w:val="false"/>
          <w:smallCaps w:val="false"/>
          <w:sz w:val="20"/>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val="false"/>
          <w:i w:val="false"/>
          <w:caps w:val="false"/>
          <w:smallCaps w:val="false"/>
          <w:sz w:val="20"/>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facsimile or electronic transmission in .pdf format shall be sufficient to bind such parties to the terms and conditions of this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199" w:type="dxa"/>
        <w:jc w:val="left"/>
        <w:tblInd w:w="0" w:type="dxa"/>
        <w:tblLayout w:type="fixed"/>
        <w:tblCellMar>
          <w:top w:w="0" w:type="dxa"/>
          <w:left w:w="0" w:type="dxa"/>
          <w:bottom w:w="0" w:type="dxa"/>
          <w:right w:w="0" w:type="dxa"/>
        </w:tblCellMar>
      </w:tblPr>
      <w:tblGrid>
        <w:gridCol w:w="2630"/>
        <w:gridCol w:w="1385"/>
        <w:gridCol w:w="1184"/>
      </w:tblGrid>
      <w:tr>
        <w:trPr/>
        <w:tc>
          <w:tcPr>
            <w:tcW w:w="263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Very truly yours,</w:t>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Print Name of Stockholder:</w:t>
            </w:r>
          </w:p>
        </w:tc>
        <w:tc>
          <w:tcPr>
            <w:tcW w:w="2569" w:type="dxa"/>
            <w:gridSpan w:val="2"/>
            <w:tcBorders/>
            <w:vAlign w:val="center"/>
          </w:tcPr>
          <w:p>
            <w:pPr>
              <w:pStyle w:val="TableContents"/>
              <w:bidi w:val="0"/>
              <w:spacing w:before="0" w:after="283"/>
              <w:jc w:val="left"/>
              <w:rPr/>
            </w:pPr>
            <w:r>
              <w:rPr/>
              <w:t>[●]</w:t>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Signature (for individuals):</w:t>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Signature (for entities):</w:t>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By:</w:t>
            </w:r>
          </w:p>
        </w:tc>
        <w:tc>
          <w:tcPr>
            <w:tcW w:w="118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Name:</w:t>
            </w:r>
          </w:p>
        </w:tc>
        <w:tc>
          <w:tcPr>
            <w:tcW w:w="1184"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Title:</w:t>
            </w:r>
          </w:p>
        </w:tc>
        <w:tc>
          <w:tcPr>
            <w:tcW w:w="1184"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5" w:right="0" w:firstLine="5153"/>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5" w:right="0" w:firstLine="5153"/>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1107"/>
        <w:gridCol w:w="1899"/>
        <w:gridCol w:w="147"/>
      </w:tblGrid>
      <w:tr>
        <w:trPr/>
        <w:tc>
          <w:tcPr>
            <w:tcW w:w="3153" w:type="dxa"/>
            <w:gridSpan w:val="3"/>
            <w:tcBorders/>
            <w:vAlign w:val="center"/>
          </w:tcPr>
          <w:p>
            <w:pPr>
              <w:pStyle w:val="TableContents"/>
              <w:bidi w:val="0"/>
              <w:spacing w:before="0" w:after="283"/>
              <w:jc w:val="left"/>
              <w:rPr>
                <w:b/>
                <w:sz w:val="20"/>
              </w:rPr>
            </w:pPr>
            <w:r>
              <w:rPr>
                <w:b/>
                <w:sz w:val="20"/>
              </w:rPr>
              <w:t>Accepted and Agreed</w:t>
            </w:r>
          </w:p>
        </w:tc>
      </w:tr>
      <w:tr>
        <w:trPr/>
        <w:tc>
          <w:tcPr>
            <w:tcW w:w="3153" w:type="dxa"/>
            <w:gridSpan w:val="3"/>
            <w:tcBorders/>
            <w:vAlign w:val="center"/>
          </w:tcPr>
          <w:p>
            <w:pPr>
              <w:pStyle w:val="TableContents"/>
              <w:bidi w:val="0"/>
              <w:spacing w:before="0" w:after="283"/>
              <w:jc w:val="left"/>
              <w:rPr>
                <w:b/>
                <w:sz w:val="20"/>
              </w:rPr>
            </w:pPr>
            <w:r>
              <w:rPr>
                <w:b/>
                <w:sz w:val="20"/>
              </w:rPr>
              <w:t>by JASPER THERAPEUTICS, INC.:</w:t>
            </w:r>
          </w:p>
        </w:tc>
      </w:tr>
      <w:tr>
        <w:trPr/>
        <w:tc>
          <w:tcPr>
            <w:tcW w:w="1107" w:type="dxa"/>
            <w:tcBorders/>
            <w:vAlign w:val="center"/>
          </w:tcPr>
          <w:p>
            <w:pPr>
              <w:pStyle w:val="TableContents"/>
              <w:bidi w:val="0"/>
              <w:spacing w:before="0" w:after="283"/>
              <w:jc w:val="left"/>
              <w:rPr/>
            </w:pPr>
            <w:r>
              <w:rPr/>
              <w:t> </w:t>
            </w:r>
          </w:p>
        </w:tc>
        <w:tc>
          <w:tcPr>
            <w:tcW w:w="1899"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sz w:val="20"/>
              </w:rPr>
            </w:pPr>
            <w:r>
              <w:rPr>
                <w:sz w:val="20"/>
              </w:rPr>
              <w:t>By:</w:t>
            </w:r>
          </w:p>
        </w:tc>
        <w:tc>
          <w:tcPr>
            <w:tcW w:w="18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sz w:val="20"/>
              </w:rPr>
            </w:pPr>
            <w:r>
              <w:rPr>
                <w:sz w:val="20"/>
              </w:rPr>
              <w:t>Name:</w:t>
            </w:r>
          </w:p>
        </w:tc>
        <w:tc>
          <w:tcPr>
            <w:tcW w:w="18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sz w:val="20"/>
              </w:rPr>
            </w:pPr>
            <w:r>
              <w:rPr>
                <w:sz w:val="20"/>
              </w:rPr>
              <w:t>Title:</w:t>
            </w:r>
          </w:p>
        </w:tc>
        <w:tc>
          <w:tcPr>
            <w:tcW w:w="18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767"/>
        <w:gridCol w:w="1564"/>
        <w:gridCol w:w="102"/>
      </w:tblGrid>
      <w:tr>
        <w:trPr/>
        <w:tc>
          <w:tcPr>
            <w:tcW w:w="243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and Agreed</w:t>
            </w:r>
          </w:p>
        </w:tc>
      </w:tr>
      <w:tr>
        <w:trPr/>
        <w:tc>
          <w:tcPr>
            <w:tcW w:w="243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KIRA THERAPEUTICS:</w:t>
            </w:r>
          </w:p>
        </w:tc>
      </w:tr>
      <w:tr>
        <w:trPr/>
        <w:tc>
          <w:tcPr>
            <w:tcW w:w="767"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b/>
        </w:rPr>
      </w:pPr>
      <w:r>
        <w:rPr>
          <w:b/>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PARENT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SUPPORT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 2026, is made by and among Jasper Therapeutics,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Kira Pharmaceuticals,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undersigned holder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of shares of capital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Kira Holdco Inc.,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the Company, have entered into an Agreement and Plan of Merger, dated of even date herewith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providing for the merger of the Company with and into Merger Sub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Stockholder beneficially owns and has sole or shared voting power with respect to the number of Shares, and holds options to purchase shares of Parent Common Stock (“</w:t>
      </w:r>
      <w:r>
        <w:rPr>
          <w:rFonts w:ascii="Times New Roman;Times;Serif" w:hAnsi="Times New Roman;Times;Serif"/>
          <w:b w:val="false"/>
          <w:i w:val="false"/>
          <w:caps w:val="false"/>
          <w:smallCaps w:val="false"/>
          <w:sz w:val="20"/>
          <w:u w:val="single"/>
        </w:rPr>
        <w:t>Parent Options</w:t>
      </w:r>
      <w:r>
        <w:rPr>
          <w:rFonts w:ascii="Times New Roman;Times;Serif" w:hAnsi="Times New Roman;Times;Serif"/>
          <w:b w:val="false"/>
          <w:i w:val="false"/>
          <w:caps w:val="false"/>
          <w:smallCaps w:val="false"/>
          <w:sz w:val="20"/>
        </w:rPr>
        <w:t>”) and/or restricted stock units to acquire shares of Parent Common Stock (“</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xml:space="preserve">”), in each case in the number of Shares indicated opposite Stockholder’s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an inducement and a condition to the willingness of Parent, Merger Sub, and the Company to enter into the Merger Agreement, and in consideration of the substantial expenses incurred and to be incurred by them in connection therewith, Stockholder has agreed to enter into and perform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capitalized terms used in this Agreement without definition herein shall have the meanings ascribed to them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and as a condition to, Parent, Merger Sub, and the Company entering into the Merger Agreement and proceeding with the transactions contemplated thereby, and in consideration of the substantial expenses incurred and to be incurred by them in connection therewith, Stockholder, Parent and the Company agree as follows:</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1.</w:t>
            </w:r>
          </w:p>
        </w:tc>
        <w:tc>
          <w:tcPr>
            <w:tcW w:w="10034" w:type="dxa"/>
            <w:tcBorders/>
            <w:vAlign w:val="center"/>
          </w:tcPr>
          <w:p>
            <w:pPr>
              <w:pStyle w:val="TableContents"/>
              <w:bidi w:val="0"/>
              <w:spacing w:before="0" w:after="283"/>
              <w:jc w:val="left"/>
              <w:rPr/>
            </w:pPr>
            <w:r>
              <w:rPr>
                <w:u w:val="single"/>
              </w:rPr>
              <w:t>Agreement to Vote Shares</w:t>
            </w:r>
            <w:r>
              <w:rPr/>
              <w:t xml:space="preserve">. Stockholder agrees that, prior to the Expiration Date (as defined in </w:t>
            </w:r>
            <w:r>
              <w:rPr>
                <w:u w:val="single"/>
              </w:rPr>
              <w:t>Section 2</w:t>
            </w:r>
            <w:r>
              <w:rPr/>
              <w:t xml:space="preserve"> below), at any meeting of the stockholders of Parent or any adjournment or postponement thereof, or in connection with any written consent of the stockholders of Parent, with respect to the Parent Stockholder Matters, Stockholder shall:</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 xml:space="preserve">appear at such meeting or otherwise cause the Shares and any New Shares (as defined in </w:t>
            </w:r>
            <w:r>
              <w:rPr>
                <w:u w:val="single"/>
              </w:rPr>
              <w:t>Section 3</w:t>
            </w:r>
            <w:r>
              <w:rPr/>
              <w:t xml:space="preserve"> below) to be counted as present thereat for purposes of calculating a quorum;</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from and after the date hereof until the Expiration Date, vote (or cause to be voted), or deliver a written consent (or cause a written consent to be delivered) covering all of the Shares and any New Shares that Stockholder shall be entitled to so vote: (i) in favor of the Parent Stockholder Matters and any matter that could reasonably be expected to facilitate the Parent Stockholder Matters; (ii) against any proposal to remove the limitation initially set at the discretion of the holders of Parent Convertible Preferred Stock between 4.99% and 19.99% of the number of shares of Parent Common Stock outstanding immediately after giving effect to the issuance of shares of Parent Common Stock upon conversion (the “Beneficial Ownership Limitation”) restricting such holders from beneficially owning a number of shares of Parent Common Stock in excess of the Beneficial Ownership Limitation or any agreement, transaction or other matter that is intended to, or would reasonably be expected to, impede, interfere with, delay, postpone, discourage or materially and adversely affect the consummation of the Parent Stockholder Matters; and (iii) to approve any proposal to adjourn or postpone the meeting to a later date, if there are not sufficient votes for the approval of the Parent Stockholder Matters on the date on which such meeting is held. Stockholder shall not take or commit or agree to take any action inconsistent with the foregoing.</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2.</w:t>
            </w:r>
          </w:p>
        </w:tc>
        <w:tc>
          <w:tcPr>
            <w:tcW w:w="10032" w:type="dxa"/>
            <w:tcBorders/>
            <w:vAlign w:val="center"/>
          </w:tcPr>
          <w:p>
            <w:pPr>
              <w:pStyle w:val="TableContents"/>
              <w:bidi w:val="0"/>
              <w:spacing w:before="0" w:after="283"/>
              <w:jc w:val="left"/>
              <w:rPr/>
            </w:pPr>
            <w:r>
              <w:rPr>
                <w:u w:val="single"/>
              </w:rPr>
              <w:t>Expiration Date</w:t>
            </w:r>
            <w:r>
              <w:rPr/>
              <w:t>. As used in this Agreement, the term “</w:t>
            </w:r>
            <w:r>
              <w:rPr>
                <w:u w:val="single"/>
              </w:rPr>
              <w:t>Expiration Date</w:t>
            </w:r>
            <w:r>
              <w:rPr/>
              <w:t>” shall mean the earlier to occur of (a) the effective time of the approval of the Parent Stockholder Matters, or (b) upon mutual written agreement of the parties to terminate this Agreement or (c) twelve (12) months following the date of this Agreement.</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3.</w:t>
            </w:r>
          </w:p>
        </w:tc>
        <w:tc>
          <w:tcPr>
            <w:tcW w:w="10042" w:type="dxa"/>
            <w:tcBorders/>
            <w:vAlign w:val="center"/>
          </w:tcPr>
          <w:p>
            <w:pPr>
              <w:pStyle w:val="TableContents"/>
              <w:bidi w:val="0"/>
              <w:spacing w:before="0" w:after="283"/>
              <w:jc w:val="left"/>
              <w:rPr/>
            </w:pPr>
            <w:r>
              <w:rPr>
                <w:u w:val="single"/>
              </w:rPr>
              <w:t>Additional Purchases</w:t>
            </w:r>
            <w:r>
              <w:rPr/>
              <w:t>. Stockholder agrees that any shares of capital stock or other equity securities of Parent that Stockholder purchases or with respect to which Stockholder otherwise acquires sole or shared voting power (including any proxy) after the execution of this Agreement and prior to the Expiration Date, whether by the exercise of any Parent Options, settlement of Parent RSUs or otherwise, including, without limitation, by gift, succession, in the event of a stock split or as a dividend or distribution of any Shares (“</w:t>
            </w:r>
            <w:r>
              <w:rPr>
                <w:u w:val="single"/>
              </w:rPr>
              <w:t>New Shares</w:t>
            </w:r>
            <w:r>
              <w:rPr/>
              <w:t>”), shall be subject to the terms and conditions of this Agreement to the same extent as if they constituted the Shares.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pPr>
            <w:r>
              <w:rPr/>
              <w:t>4.</w:t>
            </w:r>
          </w:p>
        </w:tc>
        <w:tc>
          <w:tcPr>
            <w:tcW w:w="10049" w:type="dxa"/>
            <w:tcBorders/>
            <w:vAlign w:val="center"/>
          </w:tcPr>
          <w:p>
            <w:pPr>
              <w:pStyle w:val="TableContents"/>
              <w:bidi w:val="0"/>
              <w:spacing w:before="0" w:after="283"/>
              <w:jc w:val="left"/>
              <w:rPr/>
            </w:pPr>
            <w:r>
              <w:rPr>
                <w:u w:val="single"/>
              </w:rPr>
              <w:t>Share Transfers</w:t>
            </w:r>
            <w:r>
              <w:rPr/>
              <w:t xml:space="preserve">. From and after the date hereof until the Expiration Date, Stockholder shall not, directly or indirectly, (a) sell, assign, transfer, tender, or otherwise dispose of (including, without limitation, by the creation of any Liens (as defined in </w:t>
            </w:r>
            <w:r>
              <w:rPr>
                <w:u w:val="single"/>
              </w:rPr>
              <w:t>Section 5(c)</w:t>
            </w:r>
            <w:r>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(1) transfers by will or by operation of Law or other transfers for estate-planning purposes, in which case this Agreement shall bind the transferee, (2) with respect to Stockholder’s Parent Options which expire on or prior to the Expiration Date, transfers, sale, or other disposition of Shares to Parent as payment for the (i) exercise price of Stockholder’s Parent Options and (ii) taxes applicable to the exercise of Stockholder’s Parent Options, (3) with respect to Stockholder’s Parent RSUs, (i) transfers for the net settlement of Stockholder’s Parent RSUs settled in Shares (to pay any tax withholding obligations) or (ii) transfers for receipt upon settlement of Stockholder’s Parent RSUs, and the sale of a sufficient number of such Shares acquired upon settlement of such securities as would generate sales proceeds sufficient to pay the aggregate taxes payable by Stockholder as a result of such settlement, (4) if Stockholder is a partnership or limited liability company, a transfer to one or more partners or members of Stockholder or to an Affiliated corporation, trust or other Entity under common control with Stockholder, or if Stockholder is a trust, a transfer to a beneficiary, </w:t>
            </w:r>
            <w:r>
              <w:rPr>
                <w:i/>
              </w:rPr>
              <w:t>provided</w:t>
            </w:r>
            <w:r>
              <w:rPr/>
              <w:t xml:space="preserve"> that in each such case the applicable transferee has signed a voting agreement in substantially the form hereof, (5) transfers to another holder of the capital stock of Parent that has signed a voting agreement in substantially the form hereof, and (6) transfers, sales or other dispositions as the Company may otherwise agree in writing in its sole discretion. If any voluntary or involuntary transfer of any Shares covered hereby shall occur (including a transfer or disposition permitted by </w:t>
            </w:r>
            <w:r>
              <w:rPr>
                <w:u w:val="single"/>
              </w:rPr>
              <w:t>Section 4(1)</w:t>
            </w:r>
            <w:r>
              <w:rPr/>
              <w:t xml:space="preserve"> through </w:t>
            </w:r>
            <w:r>
              <w:rPr>
                <w:u w:val="single"/>
              </w:rPr>
              <w:t>Section 4(6)</w:t>
            </w:r>
            <w:r>
              <w:rPr/>
              <w:t>, sale by a Stockholder’s trustee in bankruptcy, or a sale to a purchaser at any creditor’s or court sale), the transferee (which term, as used herein, shall include any and all transferees and subsequent transferees of the initial transferee) shall take and hold such Shares subject to all of the restrictions, Liabilities and rights under this Agreement, which shall continue in full force and effect, notwithstanding that such transferee is not a Stockholder and has not executed a counterpart hereof or joinder hereto.</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left"/>
              <w:rPr/>
            </w:pPr>
            <w:r>
              <w:rPr>
                <w:u w:val="single"/>
              </w:rPr>
              <w:t>Representations and Warranties of Stockholder</w:t>
            </w:r>
            <w:r>
              <w:rPr/>
              <w:t>. Stockholder hereby represents and warrants to Parent and the Company as follows: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if Stockholder is an Entity: (i) Stockholder is duly organized, validly existing and in good standing under the laws of the jurisdiction in which it is incorporated, organized or constituted, (ii) Stockholder has all necessary power and authority to execute and deliver this Agreement, to perform Stockholder’s obligations hereunder and to consummate the transactions contemplated hereby, and (iii) the execution and delivery of this Agreement, performance of Stockholder’s obligations hereunder and the consummation of the transactions contemplated hereby by Stockholder have been duly authorized by all necessary action on the part of Stockholder and no other proceedings on the part of Stockholder are necessary to authorize this Agreement, or to consummate the transactions contemplated hereby, or if Stockholder is an individual, Stockholder has the legal capacity to execute and deliver this Agreement, to perform Stockholder’s obligations hereunder and to consummate the transactions contemplated hereby;</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this Agreement has been duly executed and delivered by or on behalf of Stockholder and, assuming this Agreement constitutes a valid and binding agreement of the Company and Parent,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 xml:space="preserve">Stockholder beneficially owns the number of Shares indicated opposite Stockholder’s name on </w:t>
            </w:r>
            <w:r>
              <w:rPr>
                <w:u w:val="single"/>
              </w:rPr>
              <w:t>Schedule 1</w:t>
            </w:r>
            <w:r>
              <w:rPr/>
              <w:t>, and will own any New Shares, free and clear of any liens, claims, charges or other encumbrances or restrictions of any kind whatsoever (“</w:t>
            </w:r>
            <w:r>
              <w:rPr>
                <w:u w:val="single"/>
              </w:rPr>
              <w:t>Liens</w:t>
            </w:r>
            <w:r>
              <w:rPr/>
              <w:t>”), and has sole or shared, and otherwise unrestricted, voting power with respect to such Shares or New Shares and none of the Shares or New Shares is subject to any voting trust or other agreement, arrangement or restriction with respect to the voting of the Shares or the New Shares, except as contemplated by this Agreement;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the execution and delivery of this Agreement by Stockholder does not, and the performance by Stockholder of his, her or its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except for any of the foregoing as would not reasonably be expected to prevent or delay the performance by Stockholder of his, her or its obligations under this Agreement in any material respect;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left"/>
              <w:rPr/>
            </w:pPr>
            <w:r>
              <w:rPr/>
              <w:t>the execution and delivery of this Agreement by Stockholder does not, and the performance of this Agreement by Stockholder does not and will not, require any consent, approval, authorization or permit of, or filing with or notification to, any Governmental Body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her or its obligations under this Agreement in any material respect;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2" w:type="dxa"/>
            <w:tcBorders/>
            <w:vAlign w:val="center"/>
          </w:tcPr>
          <w:p>
            <w:pPr>
              <w:pStyle w:val="TableContents"/>
              <w:bidi w:val="0"/>
              <w:spacing w:before="0" w:after="283"/>
              <w:jc w:val="left"/>
              <w:rPr/>
            </w:pPr>
            <w:r>
              <w:rPr/>
              <w:t>no investment banker, broker, finder or other intermediary is entitled to a fee or commission from Parent or the Company in respect of this Agreement based upon any Contract made by or on behalf of Stockholder;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7" w:type="dxa"/>
            <w:tcBorders/>
            <w:vAlign w:val="center"/>
          </w:tcPr>
          <w:p>
            <w:pPr>
              <w:pStyle w:val="TableContents"/>
              <w:bidi w:val="0"/>
              <w:spacing w:before="0" w:after="283"/>
              <w:jc w:val="left"/>
              <w:rPr/>
            </w:pPr>
            <w:r>
              <w:rPr/>
              <w:t>as of the date of this Agreement, there is no Legal Proceeding pending or, to the knowledge of Stockholder, threatened against Stockholder that would reasonably be expected to prevent or delay the performance by Stockholder of his, her or its obligations under this Agreement in any material respect.</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6.</w:t>
            </w:r>
          </w:p>
        </w:tc>
        <w:tc>
          <w:tcPr>
            <w:tcW w:w="10048" w:type="dxa"/>
            <w:tcBorders/>
            <w:vAlign w:val="center"/>
          </w:tcPr>
          <w:p>
            <w:pPr>
              <w:pStyle w:val="TableContents"/>
              <w:bidi w:val="0"/>
              <w:spacing w:before="0" w:after="283"/>
              <w:jc w:val="left"/>
              <w:rPr/>
            </w:pPr>
            <w:r>
              <w:rPr>
                <w:u w:val="single"/>
              </w:rPr>
              <w:t>Irrevocable Proxy</w:t>
            </w:r>
            <w:r>
              <w:rPr/>
              <w:t xml:space="preserve">. Subject to the final sentence of this </w:t>
            </w:r>
            <w:r>
              <w:rPr>
                <w:u w:val="single"/>
              </w:rPr>
              <w:t>Section 6</w:t>
            </w:r>
            <w:r>
              <w:rPr/>
              <w:t xml:space="preserve">, by execution of this Agreement, Stockholder does hereby appoint the Company and any of its designees with full power of substitution and resubstitution, as Stockholder’s true and lawful attorney and irrevocable proxy, to the fullest extent of Stockholder’s rights with respect to the Shares or New Shares, to vote and exercise all voting and related rights, including the right to sign Stockholder’s name (solely in its capacity as a stockholder) to any stockholder consent, if Stockholder is unable to perform or otherwise does not perform his, her or its obligations under this Agreement, with respect to such Shares solely with respect to the matters set forth in </w:t>
            </w:r>
            <w:r>
              <w:rPr>
                <w:u w:val="single"/>
              </w:rPr>
              <w:t>Section 1</w:t>
            </w:r>
            <w:r>
              <w:rPr/>
              <w:t xml:space="preserve"> hereof. Stockholder intends this proxy to be irrevocable and coupled with an interest hereunder until the Expiration Date, hereby revokes any proxy previously granted by Stockholder with respect to the Shares or New Shares and represents that none of such previously-granted proxies are irrevocable. The irrevocable proxy and power of attorney granted herein shall survive the death or incapacity of Stockholder and the obligations of Stockholder shall be binding on Stockholder’s heirs, personal representatives, successors, transferees and assigns. Stockholder hereby agrees not to grant any subsequent powers of attorney or proxies with respect to any Shares with respect to the matters set forth in </w:t>
            </w:r>
            <w:r>
              <w:rPr>
                <w:u w:val="single"/>
              </w:rPr>
              <w:t>Section 1</w:t>
            </w:r>
            <w:r>
              <w:rPr/>
              <w:t xml:space="preserve"> until after the Expiration Date. The Stockholder hereby affirms that the proxy set forth in this Section 6 is given in connection with and granted in consideration of and as an inducement to the Company, Parent and Merger Sub to enter into the Merger Agreement and that such proxy is given to secure the obligations of the Stockholder under Section 1. Notwithstanding anything contained herein to the contrary, this irrevocable proxy shall automatically terminate upon the Expiration Date.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7.</w:t>
            </w:r>
          </w:p>
        </w:tc>
        <w:tc>
          <w:tcPr>
            <w:tcW w:w="10045" w:type="dxa"/>
            <w:tcBorders/>
            <w:vAlign w:val="center"/>
          </w:tcPr>
          <w:p>
            <w:pPr>
              <w:pStyle w:val="TableContents"/>
              <w:bidi w:val="0"/>
              <w:spacing w:before="0" w:after="283"/>
              <w:jc w:val="left"/>
              <w:rPr/>
            </w:pPr>
            <w:r>
              <w:rPr>
                <w:u w:val="single"/>
              </w:rPr>
              <w:t>Other Remedies; Specific Performance</w:t>
            </w:r>
            <w:r>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without the need of posting bond in any court of the United States or any state having jurisdiction, this being in addition to any other remedy to which they are entitled at Law or in equity.</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8.</w:t>
            </w:r>
          </w:p>
        </w:tc>
        <w:tc>
          <w:tcPr>
            <w:tcW w:w="10045" w:type="dxa"/>
            <w:tcBorders/>
            <w:vAlign w:val="center"/>
          </w:tcPr>
          <w:p>
            <w:pPr>
              <w:pStyle w:val="TableContents"/>
              <w:bidi w:val="0"/>
              <w:spacing w:before="0" w:after="283"/>
              <w:jc w:val="left"/>
              <w:rPr/>
            </w:pPr>
            <w:r>
              <w:rPr>
                <w:u w:val="single"/>
              </w:rPr>
              <w:t>Directors and Officers</w:t>
            </w:r>
            <w:r>
              <w:rPr/>
              <w:t>. This Agreement shall apply to Stockholder solely in Stockholder’s capacity as a stockholder of Parent and/or holder of Parent Options and/or Parent RSUs and not in Stockholder’s capacity as a director, officer or employee of Parent or any of its Subsidiaries or in Stockholder’s capacity as a trustee or fiduciary of any employee benefit plan or trust. Notwithstanding any provision of this Agreement to the contrary, nothing in this Agreement shall (or require Stockholder to attempt to) limit or restrict a director and/or officer of Parent in the exercise of his or her fiduciary duties as a director and/or officer of Parent or in his or her capacity as a trustee or fiduciary of any employee benefit plan or trust or prevent or be construed to create any obligation on the part of any director and/or officer of Parent or any trustee or fiduciary of any employee benefit plan or trust from taking any action in his or her capacity as such director, officer, trustee and/or fiduciary.</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9.</w:t>
            </w:r>
          </w:p>
        </w:tc>
        <w:tc>
          <w:tcPr>
            <w:tcW w:w="10041" w:type="dxa"/>
            <w:tcBorders/>
            <w:vAlign w:val="center"/>
          </w:tcPr>
          <w:p>
            <w:pPr>
              <w:pStyle w:val="TableContents"/>
              <w:bidi w:val="0"/>
              <w:spacing w:before="0" w:after="283"/>
              <w:jc w:val="left"/>
              <w:rPr/>
            </w:pPr>
            <w:r>
              <w:rPr>
                <w:u w:val="single"/>
              </w:rPr>
              <w:t>No Ownership Interest</w:t>
            </w:r>
            <w:r>
              <w:rPr/>
              <w:t>. Nothing contained in this Agreement shall be deemed to vest in the Company any direct or indirect ownership or incidence of ownership of or with respect to any Shares. All rights, ownership and economic benefits of and relating to the Shares shall remain vested in and belong to Stockholder, and the Company does not have authority to manage, direct, superintend, restrict, regulate, govern, or administer any of the policies or operations of Parent or exercise any power or authority to direct Stockholder in the voting of any of the Shares, except as otherwise provided herein.</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10.</w:t>
            </w:r>
          </w:p>
        </w:tc>
        <w:tc>
          <w:tcPr>
            <w:tcW w:w="9919" w:type="dxa"/>
            <w:tcBorders/>
            <w:vAlign w:val="center"/>
          </w:tcPr>
          <w:p>
            <w:pPr>
              <w:pStyle w:val="TableContents"/>
              <w:bidi w:val="0"/>
              <w:spacing w:before="0" w:after="283"/>
              <w:jc w:val="left"/>
              <w:rPr/>
            </w:pPr>
            <w:r>
              <w:rPr>
                <w:u w:val="single"/>
              </w:rPr>
              <w:t>Termination</w:t>
            </w:r>
            <w:r>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i/>
              </w:rPr>
              <w:t>provided</w:t>
            </w:r>
            <w:r>
              <w:rPr/>
              <w:t xml:space="preserve">, </w:t>
            </w:r>
            <w:r>
              <w:rPr>
                <w:i/>
              </w:rPr>
              <w:t>however</w:t>
            </w:r>
            <w:r>
              <w:rPr/>
              <w:t xml:space="preserve">, nothing set forth in this </w:t>
            </w:r>
            <w:r>
              <w:rPr>
                <w:u w:val="single"/>
              </w:rPr>
              <w:t>Section 10</w:t>
            </w:r>
            <w:r>
              <w:rPr/>
              <w:t xml:space="preserve"> or elsewhere in this Agreement shall relieve any party from liability for any fraud or for any willful and material breach of this Agreement prior to termination hereof.</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11.</w:t>
            </w:r>
          </w:p>
        </w:tc>
        <w:tc>
          <w:tcPr>
            <w:tcW w:w="9915" w:type="dxa"/>
            <w:tcBorders/>
            <w:vAlign w:val="center"/>
          </w:tcPr>
          <w:p>
            <w:pPr>
              <w:pStyle w:val="TableContents"/>
              <w:bidi w:val="0"/>
              <w:spacing w:before="0" w:after="283"/>
              <w:jc w:val="left"/>
              <w:rPr/>
            </w:pPr>
            <w:r>
              <w:rPr>
                <w:u w:val="single"/>
              </w:rPr>
              <w:t>Further Assurances</w:t>
            </w:r>
            <w:r>
              <w:rPr/>
              <w:t>. Stockholder shall, from time to time, execute and deliver, or cause to be executed and delivered, such additional or further consents, documents and other instruments as the Company or Parent may reasonably request for the purpose of effectively carrying out the transactions contemplated by this Agreement and the Contemplated Transactions.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12.</w:t>
            </w:r>
          </w:p>
        </w:tc>
        <w:tc>
          <w:tcPr>
            <w:tcW w:w="9927" w:type="dxa"/>
            <w:tcBorders/>
            <w:vAlign w:val="center"/>
          </w:tcPr>
          <w:p>
            <w:pPr>
              <w:pStyle w:val="TableContents"/>
              <w:bidi w:val="0"/>
              <w:spacing w:before="0" w:after="283"/>
              <w:jc w:val="left"/>
              <w:rPr/>
            </w:pPr>
            <w:r>
              <w:rPr>
                <w:u w:val="single"/>
              </w:rPr>
              <w:t>Disclosure</w:t>
            </w:r>
            <w:r>
              <w:rPr/>
              <w:t xml:space="preserve">. Stockholder hereby agrees that Parent and the Company may publish and disclose in any registration statement, any prospectus filed with any regulatory authority in connection with the Contemplated Transactions and any related documents filed with such regulatory authority and as otherwise required by Law, Stockholder’s identity and ownership of Shares and the nature of Stockholder’s commitments, arrangements and understandings under this Agreement and may further file this Agreement as an exhibit to any registration statement or prospectus or in any other filing made by Parent or the Company as required by Law or the terms of the Merger Agreement, including with the SEC or other regulatory authority, relating to the Contemplated Transactions, all subject to prior review and an opportunity to comment by Stockholder’s counsel. Prior to the Closing, Stockholder shall not, and shall use its reasonable best efforts to cause its representatives not to, directly or indirectly, make any press release, public announcement or other public communication that criticizes or disparages this Agreement or the Merger Agreement or any of the Contemplated Transactions, without the prior written consent of Parent and the Company, </w:t>
            </w:r>
            <w:r>
              <w:rPr>
                <w:i/>
              </w:rPr>
              <w:t xml:space="preserve">provided </w:t>
            </w:r>
            <w:r>
              <w:rPr/>
              <w:t xml:space="preserve">that the foregoing shall not limit or affect any actions taken by Stockholder (or any affiliated officer or director of Stockholder) that would be permitted to be taken by Stockholder, Parent or the Company pursuant to the Merger Agreement; </w:t>
            </w:r>
            <w:r>
              <w:rPr>
                <w:i/>
              </w:rPr>
              <w:t>provided</w:t>
            </w:r>
            <w:r>
              <w:rPr/>
              <w:t>, further, that the foregoing shall not affect any actions of Stockholder the prohibition of which would be prohibited under applicable Law.</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13.</w:t>
            </w:r>
          </w:p>
        </w:tc>
        <w:tc>
          <w:tcPr>
            <w:tcW w:w="9921" w:type="dxa"/>
            <w:tcBorders/>
            <w:vAlign w:val="center"/>
          </w:tcPr>
          <w:p>
            <w:pPr>
              <w:pStyle w:val="TableContents"/>
              <w:bidi w:val="0"/>
              <w:spacing w:before="0" w:after="283"/>
              <w:jc w:val="left"/>
              <w:rPr/>
            </w:pPr>
            <w:r>
              <w:rPr>
                <w:u w:val="single"/>
              </w:rPr>
              <w:t>Notice</w:t>
            </w:r>
            <w:r>
              <w:rPr/>
              <w:t xml:space="preserve">. All notices and other communications hereunder shall be in writing and shall be deemed given if delivered personally or sent by overnight courier (providing proof of delivery) or by electronic transmission (providing confirmation of transmission) to the Company or Parent, as the case may be, in accordance with </w:t>
            </w:r>
            <w:r>
              <w:rPr>
                <w:u w:val="single"/>
              </w:rPr>
              <w:t>Section 8.8</w:t>
            </w:r>
            <w:r>
              <w:rPr/>
              <w:t xml:space="preserve"> of the Merger Agreement and to Stockholder at his, her or its address or email address (providing confirmation of transmission) set forth on </w:t>
            </w:r>
            <w:r>
              <w:rPr>
                <w:u w:val="single"/>
              </w:rPr>
              <w:t>Schedule 1</w:t>
            </w:r>
            <w:r>
              <w:rPr/>
              <w:t xml:space="preserve"> attached hereto (or at such other address for a party as shall be specified by like notice).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14.</w:t>
            </w:r>
          </w:p>
        </w:tc>
        <w:tc>
          <w:tcPr>
            <w:tcW w:w="9926" w:type="dxa"/>
            <w:tcBorders/>
            <w:vAlign w:val="center"/>
          </w:tcPr>
          <w:p>
            <w:pPr>
              <w:pStyle w:val="TableContents"/>
              <w:bidi w:val="0"/>
              <w:spacing w:before="0" w:after="283"/>
              <w:jc w:val="left"/>
              <w:rPr/>
            </w:pPr>
            <w:r>
              <w:rPr>
                <w:u w:val="single"/>
              </w:rPr>
              <w:t>Severability</w:t>
            </w:r>
            <w:r>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15.</w:t>
            </w:r>
          </w:p>
        </w:tc>
        <w:tc>
          <w:tcPr>
            <w:tcW w:w="9923" w:type="dxa"/>
            <w:tcBorders/>
            <w:vAlign w:val="center"/>
          </w:tcPr>
          <w:p>
            <w:pPr>
              <w:pStyle w:val="TableContents"/>
              <w:bidi w:val="0"/>
              <w:spacing w:before="0" w:after="283"/>
              <w:jc w:val="left"/>
              <w:rPr/>
            </w:pPr>
            <w:r>
              <w:rPr>
                <w:u w:val="single"/>
              </w:rPr>
              <w:t>Assignability</w:t>
            </w:r>
            <w:r>
              <w:rPr/>
              <w:t xml:space="preserve">. This Agreement shall be binding upon, and shall be enforceable by and inure solely to the benefit of, the parties hereto and their respective successors and assigns; </w:t>
            </w:r>
            <w:r>
              <w:rPr>
                <w:i/>
              </w:rPr>
              <w:t>provided, however</w:t>
            </w:r>
            <w:r>
              <w:rPr/>
              <w:t>,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16.</w:t>
            </w:r>
          </w:p>
        </w:tc>
        <w:tc>
          <w:tcPr>
            <w:tcW w:w="9923" w:type="dxa"/>
            <w:tcBorders/>
            <w:vAlign w:val="center"/>
          </w:tcPr>
          <w:p>
            <w:pPr>
              <w:pStyle w:val="TableContents"/>
              <w:bidi w:val="0"/>
              <w:spacing w:before="0" w:after="283"/>
              <w:jc w:val="left"/>
              <w:rPr/>
            </w:pPr>
            <w:r>
              <w:rPr>
                <w:u w:val="single"/>
              </w:rPr>
              <w:t>No Waivers</w:t>
            </w:r>
            <w:r>
              <w:rPr/>
              <w:t>. No waivers of any breach of this Agreement extended by the Company or Parent to Stockholder shall be construed as a waiver of any rights or remedies of the Company or Parent, as applicable, with respect to any other stockholder of Parent who has executed an agreement substantially in the form of this Agreement with respect to Shares held or subsequently held by such stockholder or with respect to any subsequent breach of Stockholder or any other stockholder of Parent. No waiver of any provisions hereof by any party shall be deemed a waiver of any other provisions hereof by any such party, nor shall any such waiver be deemed a continuing waiver of any provision hereof by such party.</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17.</w:t>
            </w:r>
          </w:p>
        </w:tc>
        <w:tc>
          <w:tcPr>
            <w:tcW w:w="9926" w:type="dxa"/>
            <w:tcBorders/>
            <w:vAlign w:val="center"/>
          </w:tcPr>
          <w:p>
            <w:pPr>
              <w:pStyle w:val="TableContents"/>
              <w:bidi w:val="0"/>
              <w:spacing w:before="0" w:after="283"/>
              <w:jc w:val="left"/>
              <w:rPr/>
            </w:pPr>
            <w:r>
              <w:rPr>
                <w:u w:val="single"/>
              </w:rPr>
              <w:t>Applicable Law; Jurisdiction</w:t>
            </w:r>
            <w:r>
              <w:rPr/>
              <w:t xml:space="preserve">. This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clause (i) of this </w:t>
            </w:r>
            <w:r>
              <w:rPr>
                <w:u w:val="single"/>
              </w:rPr>
              <w:t>Section 17</w:t>
            </w:r>
            <w:r>
              <w:rPr/>
              <w:t xml:space="preserve">,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u w:val="single"/>
              </w:rPr>
              <w:t>Section 13</w:t>
            </w:r>
            <w:r>
              <w:rPr/>
              <w:t xml:space="preserve"> of this Agreement.</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18.</w:t>
            </w:r>
          </w:p>
        </w:tc>
        <w:tc>
          <w:tcPr>
            <w:tcW w:w="9917" w:type="dxa"/>
            <w:tcBorders/>
            <w:vAlign w:val="center"/>
          </w:tcPr>
          <w:p>
            <w:pPr>
              <w:pStyle w:val="TableContents"/>
              <w:bidi w:val="0"/>
              <w:spacing w:before="0" w:after="283"/>
              <w:jc w:val="left"/>
              <w:rPr/>
            </w:pPr>
            <w:r>
              <w:rPr>
                <w:u w:val="single"/>
              </w:rPr>
              <w:t>Waiver of Jury Trial</w:t>
            </w:r>
            <w:r>
              <w:rPr/>
              <w:t>. THE PARTIES HERETO HEREBY WAIVE ANY RIGHT TO TRIAL BY JURY WITH RESPECT TO ANY ACTION OR LEGAL PROCEEDING RELATED TO OR ARISING OUT OF THIS AGREEMENT, ANY DOCUMENT EXECUTED IN CONNECTION HEREWITH AND THE MATTERS CONTEMPLATED HEREBY AND THEREBY.</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19.</w:t>
            </w:r>
          </w:p>
        </w:tc>
        <w:tc>
          <w:tcPr>
            <w:tcW w:w="9922" w:type="dxa"/>
            <w:tcBorders/>
            <w:vAlign w:val="center"/>
          </w:tcPr>
          <w:p>
            <w:pPr>
              <w:pStyle w:val="TableContents"/>
              <w:bidi w:val="0"/>
              <w:spacing w:before="0" w:after="283"/>
              <w:jc w:val="left"/>
              <w:rPr/>
            </w:pPr>
            <w:r>
              <w:rPr>
                <w:u w:val="single"/>
              </w:rPr>
              <w:t>No Agreement Until Executed</w:t>
            </w:r>
            <w:r>
              <w:rPr/>
              <w:t>.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certificate of incorporation of Parent, the Merger Agreement and the Contemplated Transactions, (b) the Merger Agreement is executed by all parties thereto, and (c) this Agreement is executed by all parties hereto.</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20.</w:t>
            </w:r>
          </w:p>
        </w:tc>
        <w:tc>
          <w:tcPr>
            <w:tcW w:w="9923" w:type="dxa"/>
            <w:tcBorders/>
            <w:vAlign w:val="center"/>
          </w:tcPr>
          <w:p>
            <w:pPr>
              <w:pStyle w:val="TableContents"/>
              <w:bidi w:val="0"/>
              <w:spacing w:before="0" w:after="283"/>
              <w:jc w:val="left"/>
              <w:rPr/>
            </w:pPr>
            <w:r>
              <w:rPr>
                <w:u w:val="single"/>
              </w:rPr>
              <w:t>Entire Agreement; Counterparts; Electronic Exchanges</w:t>
            </w:r>
            <w:r>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(including via “.pdf” or an electronic signature platform) shall be sufficient to bind the parties to the terms and conditions of this Agreement.</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21.</w:t>
            </w:r>
          </w:p>
        </w:tc>
        <w:tc>
          <w:tcPr>
            <w:tcW w:w="9921" w:type="dxa"/>
            <w:tcBorders/>
            <w:vAlign w:val="center"/>
          </w:tcPr>
          <w:p>
            <w:pPr>
              <w:pStyle w:val="TableContents"/>
              <w:bidi w:val="0"/>
              <w:spacing w:before="0" w:after="283"/>
              <w:jc w:val="left"/>
              <w:rPr/>
            </w:pPr>
            <w:r>
              <w:rPr>
                <w:u w:val="single"/>
              </w:rPr>
              <w:t>Amendment</w:t>
            </w:r>
            <w:r>
              <w:rPr/>
              <w:t xml:space="preserve">. This Agreement may not be amended, supplemented or modified, and no provisions hereof may be modified or waived, except by an instrument in writing signed on behalf of each party hereto; </w:t>
            </w:r>
            <w:r>
              <w:rPr>
                <w:i/>
              </w:rPr>
              <w:t>provided</w:t>
            </w:r>
            <w:r>
              <w:rPr/>
              <w:t xml:space="preserve">, </w:t>
            </w:r>
            <w:r>
              <w:rPr>
                <w:i/>
              </w:rPr>
              <w:t>however</w:t>
            </w:r>
            <w:r>
              <w:rPr/>
              <w:t>, that the rights or obligations of any Stockholder may be waived, amended or otherwise modified in a writing signed by Parent (for the avoidance of doubt, with the prior written approval required by Section 4.1 of Parent’s Certificate of Designation of Preferences, Rights and Limitations of Non-Voting Convertible Preferred Stock), the Company and Stockholder.</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22.</w:t>
            </w:r>
          </w:p>
        </w:tc>
        <w:tc>
          <w:tcPr>
            <w:tcW w:w="9912" w:type="dxa"/>
            <w:tcBorders/>
            <w:vAlign w:val="center"/>
          </w:tcPr>
          <w:p>
            <w:pPr>
              <w:pStyle w:val="TableContents"/>
              <w:bidi w:val="0"/>
              <w:spacing w:before="0" w:after="283"/>
              <w:jc w:val="left"/>
              <w:rPr/>
            </w:pPr>
            <w:r>
              <w:rPr>
                <w:u w:val="single"/>
              </w:rPr>
              <w:t>Fees and Expenses</w:t>
            </w:r>
            <w:r>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23.</w:t>
            </w:r>
          </w:p>
        </w:tc>
        <w:tc>
          <w:tcPr>
            <w:tcW w:w="9921" w:type="dxa"/>
            <w:tcBorders/>
            <w:vAlign w:val="center"/>
          </w:tcPr>
          <w:p>
            <w:pPr>
              <w:pStyle w:val="TableContents"/>
              <w:bidi w:val="0"/>
              <w:spacing w:before="0" w:after="283"/>
              <w:jc w:val="left"/>
              <w:rPr/>
            </w:pPr>
            <w:r>
              <w:rPr>
                <w:u w:val="single"/>
              </w:rPr>
              <w:t>Voluntary Execution of Agreement</w:t>
            </w:r>
            <w:r>
              <w:rPr/>
              <w:t>. This Agreement is executed voluntarily and without any duress or undue influence on the part or behalf of the parties. Each of the parties hereby acknowledges, represents and warrants that (i) it has read and fully understood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w:t>
            </w:r>
          </w:p>
        </w:tc>
      </w:tr>
    </w:tbl>
    <w:p>
      <w:pPr>
        <w:pStyle w:val="TextBody"/>
        <w:bidi w:val="0"/>
        <w:spacing w:before="0" w:after="0"/>
        <w:ind w:left="720" w:right="0" w:hanging="72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335"/>
        <w:gridCol w:w="1310"/>
      </w:tblGrid>
      <w:tr>
        <w:trPr/>
        <w:tc>
          <w:tcPr>
            <w:tcW w:w="335" w:type="dxa"/>
            <w:tcBorders/>
            <w:vAlign w:val="center"/>
          </w:tcPr>
          <w:p>
            <w:pPr>
              <w:pStyle w:val="TableContents"/>
              <w:bidi w:val="0"/>
              <w:spacing w:before="0" w:after="283"/>
              <w:jc w:val="left"/>
              <w:rPr/>
            </w:pPr>
            <w:r>
              <w:rPr/>
              <w:t>24.</w:t>
            </w:r>
          </w:p>
        </w:tc>
        <w:tc>
          <w:tcPr>
            <w:tcW w:w="1310" w:type="dxa"/>
            <w:tcBorders/>
            <w:vAlign w:val="center"/>
          </w:tcPr>
          <w:p>
            <w:pPr>
              <w:pStyle w:val="TableContents"/>
              <w:bidi w:val="0"/>
              <w:spacing w:before="0" w:after="283"/>
              <w:jc w:val="left"/>
              <w:rPr/>
            </w:pPr>
            <w:r>
              <w:rPr>
                <w:u w:val="single"/>
              </w:rPr>
              <w:t>Construction</w:t>
            </w:r>
            <w:r>
              <w:rPr/>
              <w: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In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The parties hereto agree that any rule of construction to the effect that ambiguities are to be resolved against the drafting party shall not be applied in the construction or interpretation of this Agreement.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As used in this Agreement, the words “include” and “including,” and variations thereof, shall not be deemed to be terms of limitation, but rather shall be deemed to be followed by the words “without limitation.”</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Except as otherwise indicated, all references in this Agreement to “Sections,” and “Schedules” are intended to refer to Sections of this Agreement and Schedules to this Agreement, respectively.</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left"/>
              <w:rPr/>
            </w:pPr>
            <w:r>
              <w:rPr/>
              <w:t>The underlined headings contained in this Agreement are for convenience of reference only, shall not be deemed to be a part of this Agreement and shall not be referred to in connection with the construction or interpretation of this Agreement.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has Intentionally Been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074" w:type="dxa"/>
        <w:jc w:val="left"/>
        <w:tblInd w:w="0" w:type="dxa"/>
        <w:tblLayout w:type="fixed"/>
        <w:tblCellMar>
          <w:top w:w="0" w:type="dxa"/>
          <w:left w:w="0" w:type="dxa"/>
          <w:bottom w:w="0" w:type="dxa"/>
          <w:right w:w="0" w:type="dxa"/>
        </w:tblCellMar>
      </w:tblPr>
      <w:tblGrid>
        <w:gridCol w:w="75"/>
        <w:gridCol w:w="1848"/>
        <w:gridCol w:w="151"/>
      </w:tblGrid>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pPr>
            <w:r>
              <w:rPr/>
              <w:t>[STOCKHOLDER]</w:t>
            </w:r>
          </w:p>
        </w:tc>
      </w:tr>
      <w:tr>
        <w:trPr/>
        <w:tc>
          <w:tcPr>
            <w:tcW w:w="75" w:type="dxa"/>
            <w:tcBorders/>
            <w:vAlign w:val="center"/>
          </w:tcPr>
          <w:p>
            <w:pPr>
              <w:pStyle w:val="TableContents"/>
              <w:bidi w:val="0"/>
              <w:spacing w:before="0" w:after="283"/>
              <w:jc w:val="left"/>
              <w:rPr/>
            </w:pPr>
            <w:r>
              <w:rPr/>
              <w:t> </w:t>
            </w:r>
          </w:p>
        </w:tc>
        <w:tc>
          <w:tcPr>
            <w:tcW w:w="184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8" w:type="dxa"/>
            <w:tcBorders/>
            <w:vAlign w:val="center"/>
          </w:tcPr>
          <w:p>
            <w:pPr>
              <w:pStyle w:val="TableContents"/>
              <w:bidi w:val="0"/>
              <w:spacing w:before="0" w:after="283"/>
              <w:jc w:val="left"/>
              <w:rPr/>
            </w:pPr>
            <w:r>
              <w:rPr/>
              <w:t>Signature:</w:t>
            </w:r>
          </w:p>
        </w:tc>
        <w:tc>
          <w:tcPr>
            <w:tcW w:w="15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pPr>
            <w:r>
              <w:rPr/>
              <w:t xml:space="preserve">Name (if an Entity): </w:t>
            </w:r>
          </w:p>
        </w:tc>
      </w:tr>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pPr>
            <w:r>
              <w:rPr/>
              <w:t xml:space="preserve">Title (if an Entity):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899" w:type="dxa"/>
        <w:jc w:val="left"/>
        <w:tblInd w:w="0" w:type="dxa"/>
        <w:tblLayout w:type="fixed"/>
        <w:tblCellMar>
          <w:top w:w="0" w:type="dxa"/>
          <w:left w:w="0" w:type="dxa"/>
          <w:bottom w:w="0" w:type="dxa"/>
          <w:right w:w="0" w:type="dxa"/>
        </w:tblCellMar>
      </w:tblPr>
      <w:tblGrid>
        <w:gridCol w:w="75"/>
        <w:gridCol w:w="2445"/>
        <w:gridCol w:w="379"/>
      </w:tblGrid>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b/>
                <w:sz w:val="20"/>
              </w:rPr>
            </w:pPr>
            <w:r>
              <w:rPr>
                <w:b/>
                <w:sz w:val="20"/>
              </w:rPr>
              <w:t>JASPER THERAPEUTICS, INC.</w:t>
            </w:r>
          </w:p>
        </w:tc>
      </w:tr>
      <w:tr>
        <w:trPr/>
        <w:tc>
          <w:tcPr>
            <w:tcW w:w="75"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sz w:val="20"/>
              </w:rPr>
            </w:pPr>
            <w:r>
              <w:rPr>
                <w:sz w:val="20"/>
              </w:rPr>
              <w:t>By:</w:t>
            </w:r>
          </w:p>
        </w:tc>
        <w:tc>
          <w:tcPr>
            <w:tcW w:w="37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sz w:val="20"/>
              </w:rPr>
            </w:pPr>
            <w:r>
              <w:rPr>
                <w:sz w:val="20"/>
              </w:rPr>
              <w:t>Name:</w:t>
            </w:r>
          </w:p>
        </w:tc>
        <w:tc>
          <w:tcPr>
            <w:tcW w:w="3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sz w:val="20"/>
              </w:rPr>
            </w:pPr>
            <w:r>
              <w:rPr>
                <w:sz w:val="20"/>
              </w:rPr>
              <w:t>Title:</w:t>
            </w:r>
          </w:p>
        </w:tc>
        <w:tc>
          <w:tcPr>
            <w:tcW w:w="3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2212"/>
        <w:gridCol w:w="342"/>
      </w:tblGrid>
      <w:tr>
        <w:trPr/>
        <w:tc>
          <w:tcPr>
            <w:tcW w:w="75"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b/>
                <w:sz w:val="20"/>
              </w:rPr>
            </w:pPr>
            <w:r>
              <w:rPr>
                <w:b/>
                <w:sz w:val="20"/>
              </w:rPr>
              <w:t>KIRA PHARMACEUTICALS</w:t>
            </w:r>
          </w:p>
        </w:tc>
      </w:tr>
      <w:tr>
        <w:trPr/>
        <w:tc>
          <w:tcPr>
            <w:tcW w:w="75" w:type="dxa"/>
            <w:tcBorders/>
            <w:vAlign w:val="center"/>
          </w:tcPr>
          <w:p>
            <w:pPr>
              <w:pStyle w:val="TableContents"/>
              <w:bidi w:val="0"/>
              <w:spacing w:before="0" w:after="283"/>
              <w:jc w:val="left"/>
              <w:rPr/>
            </w:pPr>
            <w:r>
              <w:rPr/>
              <w:t> </w:t>
            </w:r>
          </w:p>
        </w:tc>
        <w:tc>
          <w:tcPr>
            <w:tcW w:w="2212"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2" w:type="dxa"/>
            <w:tcBorders/>
            <w:vAlign w:val="center"/>
          </w:tcPr>
          <w:p>
            <w:pPr>
              <w:pStyle w:val="TableContents"/>
              <w:bidi w:val="0"/>
              <w:spacing w:before="0" w:after="283"/>
              <w:jc w:val="left"/>
              <w:rPr>
                <w:sz w:val="20"/>
              </w:rPr>
            </w:pPr>
            <w:r>
              <w:rPr>
                <w:sz w:val="20"/>
              </w:rPr>
              <w:t>By:</w:t>
            </w:r>
          </w:p>
        </w:tc>
        <w:tc>
          <w:tcPr>
            <w:tcW w:w="34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212" w:type="dxa"/>
            <w:tcBorders/>
            <w:vAlign w:val="center"/>
          </w:tcPr>
          <w:p>
            <w:pPr>
              <w:pStyle w:val="TableContents"/>
              <w:bidi w:val="0"/>
              <w:spacing w:before="0" w:after="283"/>
              <w:jc w:val="left"/>
              <w:rPr>
                <w:sz w:val="20"/>
              </w:rPr>
            </w:pPr>
            <w:r>
              <w:rPr>
                <w:sz w:val="20"/>
              </w:rPr>
              <w:t>Name:</w:t>
            </w:r>
          </w:p>
        </w:tc>
        <w:tc>
          <w:tcPr>
            <w:tcW w:w="3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2" w:type="dxa"/>
            <w:tcBorders/>
            <w:vAlign w:val="center"/>
          </w:tcPr>
          <w:p>
            <w:pPr>
              <w:pStyle w:val="TableContents"/>
              <w:bidi w:val="0"/>
              <w:spacing w:before="0" w:after="283"/>
              <w:jc w:val="left"/>
              <w:rPr>
                <w:sz w:val="20"/>
              </w:rPr>
            </w:pPr>
            <w:r>
              <w:rPr>
                <w:sz w:val="20"/>
              </w:rPr>
              <w:t>Title:</w:t>
            </w:r>
          </w:p>
        </w:tc>
        <w:tc>
          <w:tcPr>
            <w:tcW w:w="342"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tbl>
      <w:tblPr>
        <w:tblW w:w="6485" w:type="dxa"/>
        <w:jc w:val="left"/>
        <w:tblInd w:w="0" w:type="dxa"/>
        <w:tblLayout w:type="fixed"/>
        <w:tblCellMar>
          <w:top w:w="0" w:type="dxa"/>
          <w:left w:w="0" w:type="dxa"/>
          <w:bottom w:w="28" w:type="dxa"/>
          <w:right w:w="0" w:type="dxa"/>
        </w:tblCellMar>
      </w:tblPr>
      <w:tblGrid>
        <w:gridCol w:w="4220"/>
        <w:gridCol w:w="60"/>
        <w:gridCol w:w="800"/>
        <w:gridCol w:w="60"/>
        <w:gridCol w:w="680"/>
        <w:gridCol w:w="60"/>
        <w:gridCol w:w="605"/>
      </w:tblGrid>
      <w:tr>
        <w:trPr/>
        <w:tc>
          <w:tcPr>
            <w:tcW w:w="4220" w:type="dxa"/>
            <w:tcBorders>
              <w:bottom w:val="single" w:sz="12" w:space="0" w:color="000000"/>
            </w:tcBorders>
            <w:vAlign w:val="center"/>
          </w:tcPr>
          <w:p>
            <w:pPr>
              <w:pStyle w:val="TableContents"/>
              <w:bidi w:val="0"/>
              <w:spacing w:before="0" w:after="283"/>
              <w:jc w:val="left"/>
              <w:rPr>
                <w:b/>
                <w:sz w:val="20"/>
              </w:rPr>
            </w:pPr>
            <w:r>
              <w:rPr>
                <w:b/>
                <w:sz w:val="20"/>
              </w:rPr>
              <w:t>Name, Address and Email Address of Stockholder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br/>
              <w:t>Parent</w:t>
              <w:br/>
              <w:t>Common</w:t>
              <w:br/>
              <w:t>Stock</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br/>
              <w:t>Options</w:t>
            </w:r>
          </w:p>
        </w:tc>
        <w:tc>
          <w:tcPr>
            <w:tcW w:w="60" w:type="dxa"/>
            <w:tcBorders/>
            <w:tcMar>
              <w:bottom w:w="0" w:type="dxa"/>
            </w:tcMar>
            <w:vAlign w:val="center"/>
          </w:tcPr>
          <w:p>
            <w:pPr>
              <w:pStyle w:val="TableContents"/>
              <w:bidi w:val="0"/>
              <w:spacing w:before="0" w:after="283"/>
              <w:jc w:val="left"/>
              <w:rPr/>
            </w:pPr>
            <w:r>
              <w:rPr/>
              <w:t> </w:t>
            </w:r>
          </w:p>
        </w:tc>
        <w:tc>
          <w:tcPr>
            <w:tcW w:w="605" w:type="dxa"/>
            <w:tcBorders>
              <w:bottom w:val="single" w:sz="12" w:space="0" w:color="000000"/>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br/>
              <w:t>RSUs</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CONTINGENT VALUE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CONTINGENT VALUE RIGHTS AGREEMENT, dated as of [●]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by and between JASPER THERAPEUTICS,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Continental Stock Transfer &amp; Trust Company</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is a party to the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dated as of [•], 2026, by and among, Kira Pharmaceuticals,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Parent and Kira Holdco Inc., a Delaware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Merger Agreement, Parent has agreed to provide to the Holders (as defined below) the contingent value rights as hereinafter described;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Rights Agent is willing to act in connection with the issuance, transfer, exchange and payment of such CVRs as provided herein;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consummation of the transactions referred to above, Parent and the Rights Agent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 CERTAIN RULES OF CONSTRUCTION</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Capitalized terms used in this Agreement shall have the meanings ascribed to such terms in this Agreement, including as specified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Capitalized terms used but not otherwise defined herein shall have the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Acting Holders</w:t>
      </w:r>
      <w:r>
        <w:rPr>
          <w:rFonts w:ascii="Times New Roman;Times;Serif" w:hAnsi="Times New Roman;Times;Serif"/>
          <w:b w:val="false"/>
          <w:i w:val="false"/>
          <w:caps w:val="false"/>
          <w:smallCaps w:val="false"/>
          <w:sz w:val="20"/>
        </w:rPr>
        <w:t>” means, at the time of determination, Holders of not less than a majority of the outstanding CVRs, as set out in the CVR Register (it being understood that to the extent such Holders are nominees, they may be directed by the beneficial owners of such CVRs).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that directly or indirectly, through one or more intermediaries, controls, is controlled by, or is under common control with, such first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day on which the United States Securities and Exchange Commission or banks in New York City, New York are authorized or required by applicable Law to be closed.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with respect to a Person, directly or indirectly, (a) a consolidation, merger or similar business combination involving such Person in which (i) such Person is not the surviving entity or (ii) the holders of voting securities of such Person immediately prior thereto are holders of less than 50% of the voting securities of the surviving Person immediately after such transaction, (b) a sale or other disposition of all or substantially all of the assets of such Person on a consolidated basis in one transaction or a series of related transactions, or (c) the acquisition of beneficial ownership by any Person or group of more than 50% of the outstanding voting securities of such Person; provided, that, in no event shall the conversion of Parent Convertible Preferred Stock (as defined in the Merger Agreement) be deemed a Change of Control; provided, further, that no bona fide equity, debt or other financing transaction, or any issuance, sale, conversion, exchange or exercise of securities or instruments issued in connection therewith, shall be deemed to constitute a Change of Control, so long as, in each case, such transaction is for cash consideration and entered into primarily for capital-raising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CVRs</w:t>
      </w:r>
      <w:r>
        <w:rPr>
          <w:rFonts w:ascii="Times New Roman;Times;Serif" w:hAnsi="Times New Roman;Times;Serif"/>
          <w:b w:val="false"/>
          <w:i w:val="false"/>
          <w:caps w:val="false"/>
          <w:smallCaps w:val="false"/>
          <w:sz w:val="20"/>
        </w:rPr>
        <w:t>” means the rights of Holders (granted to initial Holders pursuant to the Merger Agreement) to receive a contingent cash payment pursuant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 or any successor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has the meaning set forth in the Merger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December 31, 2028.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means the United States Food and Drug Administration or any successor agency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means any federal, state, local or foreign government or subdivision thereof or any other governmental, administrative, judicial, arbitral, legislative, executive, regulatory or self-regulatory authority, instrumentality, agency, commission or body, including, without limitation,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Person in whose name a CVR is registered in the CVR Register at the applicable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means the issuance by the FDA of a Priority Review Voucher in connection with the Product, at any time on or prior to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Milestone Payment</w:t>
      </w:r>
      <w:r>
        <w:rPr>
          <w:rFonts w:ascii="Times New Roman;Times;Serif" w:hAnsi="Times New Roman;Times;Serif"/>
          <w:b w:val="false"/>
          <w:i w:val="false"/>
          <w:caps w:val="false"/>
          <w:smallCaps w:val="false"/>
          <w:sz w:val="20"/>
        </w:rPr>
        <w:t>” means $30,000,000, which shall be reduced to $0.00 if the Milestone is not achieved on or before the Expiration Date, and which, for the avoidance of doubt, shall be paid only once regardless of the number of Priority Review Vouchers that may be issued or the number of Monetization Events that may occur.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Milestone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Milestone Payment Amount</w:t>
      </w:r>
      <w:r>
        <w:rPr>
          <w:rFonts w:ascii="Times New Roman;Times;Serif" w:hAnsi="Times New Roman;Times;Serif"/>
          <w:b w:val="false"/>
          <w:i w:val="false"/>
          <w:caps w:val="false"/>
          <w:smallCaps w:val="false"/>
          <w:sz w:val="20"/>
        </w:rPr>
        <w:t xml:space="preserve">” means, for a given Holder, the </w:t>
      </w:r>
      <w:r>
        <w:rPr>
          <w:rFonts w:ascii="Times New Roman;Times;Serif" w:hAnsi="Times New Roman;Times;Serif"/>
          <w:b w:val="false"/>
          <w:i w:val="false"/>
          <w:caps w:val="false"/>
          <w:smallCaps w:val="false"/>
          <w:sz w:val="20"/>
          <w:u w:val="single"/>
        </w:rPr>
        <w:t>product of</w:t>
      </w:r>
      <w:r>
        <w:rPr>
          <w:rFonts w:ascii="Times New Roman;Times;Serif" w:hAnsi="Times New Roman;Times;Serif"/>
          <w:b w:val="false"/>
          <w:i w:val="false"/>
          <w:caps w:val="false"/>
          <w:smallCaps w:val="false"/>
          <w:sz w:val="20"/>
        </w:rPr>
        <w:t xml:space="preserve"> (a) the Milestone Payment divided by the aggregate number of CVRs outstanding as reflected on the CVR Register as of the close of business on the date of the Milestone Notice, and (b) the number of CVRs held by such Holder as reflected on the CVR Register as of the close of business on the date of the Milestone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Milestone Payment Date</w:t>
      </w:r>
      <w:r>
        <w:rPr>
          <w:rFonts w:ascii="Times New Roman;Times;Serif" w:hAnsi="Times New Roman;Times;Serif"/>
          <w:b w:val="false"/>
          <w:i w:val="false"/>
          <w:caps w:val="false"/>
          <w:smallCaps w:val="false"/>
          <w:sz w:val="20"/>
        </w:rPr>
        <w:t>” means the date that is ninety (90) days after the Monetization Event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Monetization Event</w:t>
      </w:r>
      <w:r>
        <w:rPr>
          <w:rFonts w:ascii="Times New Roman;Times;Serif" w:hAnsi="Times New Roman;Times;Serif"/>
          <w:b w:val="false"/>
          <w:i w:val="false"/>
          <w:caps w:val="false"/>
          <w:smallCaps w:val="false"/>
          <w:sz w:val="20"/>
        </w:rPr>
        <w:t>” means the first occurrence of any of the following with respect to a Priority Review Voucher for the Product: (i) the use of such Priority Review Voucher by Parent, the Surviving Corporation, or any of their respective Affiliates in connection with an FDA drug application; (ii) the sale, assignment, transfer, or other disposition of such Priority Review Voucher to any third party; or (iii) any other transaction or arrangement pursuant to which Parent, the Surviving Corporation, or any of their respective Affiliates realizes economic value from such Priority Review Voucher.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Monetization Event Date</w:t>
      </w:r>
      <w:r>
        <w:rPr>
          <w:rFonts w:ascii="Times New Roman;Times;Serif" w:hAnsi="Times New Roman;Times;Serif"/>
          <w:b w:val="false"/>
          <w:i w:val="false"/>
          <w:caps w:val="false"/>
          <w:smallCaps w:val="false"/>
          <w:sz w:val="20"/>
        </w:rPr>
        <w:t>” means the date on which a Monetization Event first occurs.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president, chief financial officer, any vice president, the controller, the treasurer or the secretary, in each case of Parent, in his or her capacity as such an officer, and delivered to the Rights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w:t>
      </w:r>
      <w:r>
        <w:rPr>
          <w:rFonts w:ascii="Times New Roman;Times;Serif" w:hAnsi="Times New Roman;Times;Serif"/>
          <w:b w:val="false"/>
          <w:i w:val="false"/>
          <w:caps w:val="false"/>
          <w:smallCaps w:val="false"/>
          <w:sz w:val="20"/>
        </w:rPr>
        <w:t xml:space="preserve">” means a transfer of CVRs (a) upon death of a Holder by will or intestacy; (b) pursuant to a court order; (c) made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as allowable by DTC; or (e)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provided that, with respect to the foregoing clauses (a) – (e), the transferee in such transfer of CVRs shall have provided to Parent an IRS Form W-9 or appropriate IRS Form W-8, as applicable, as soon as practicable following such Permitted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liability company, association, trust or other entity or organization, including any Governmental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Priority Review Voucher</w:t>
      </w:r>
      <w:r>
        <w:rPr>
          <w:rFonts w:ascii="Times New Roman;Times;Serif" w:hAnsi="Times New Roman;Times;Serif"/>
          <w:b w:val="false"/>
          <w:i w:val="false"/>
          <w:caps w:val="false"/>
          <w:smallCaps w:val="false"/>
          <w:sz w:val="20"/>
        </w:rPr>
        <w:t>” means a priority review voucher as defined in Section 529(a)(2) of the Federal Food, Drug, and Cosmetic Act (21 U.S.C. § 360ff(a)(2)).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means Briquilimab.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means the Rights Agent named in the first paragraph of this Agreement, until a successor Rights Agent becomes such pursuant to the applicable provisions of this Agreement, and thereafter “Rights Agent” shall mean such successor Rights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U.S. federal, state, local and non-U.S. (including Israeli) taxes, assessments, charges, customs, duties, fees, levies or other governmental charges, including income, franchise, margin, capital stock, real property, personal property, tangible, withholding, employment, payroll, social security, social contribution, unemployment compensation, disability, transfer, estimated, sales, use, service, license, excise, gross receipts, value-added (ad valorem), add-on or alternative minimum, severance, stamp, occupation, premium, escheat, unclaimed property and all other taxes or similar charges of any kind in the nature of a tax for which a Person may have any liability imposed by any Governmental Entity (including as a result of any transferee or successor liability or any liability assumed by Contract, Law or otherwise), whether disputed or not, and any charges, fines, interest or penalties imposed by any Governmental Entity or any additional amounts attributable or imposed with respect to such amounts.</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For purposes of this Agreement, the parties hereto agree that: (a) whenever the context requires, the singular number shall include the plural, and vice versa; (b) the masculine gender shall include the feminine and neuter genders; the feminine gender shall include the masculine and neuter genders; and the neuter gender shall include masculine and feminine genders; (c) the word “extent” in the phrase “to the extent” means the degree to which a subject or other thing extends, and does not simply mean “if”; (d) the words “include” and “including,” and variations thereof, shall not be deemed to be terms of limitation, but rather shall be deemed to be followed by the words “without limitation;” (e) the meaning assigned to each capitalized term defined and used in this Agreement is equally applicable to both the singular and the plural forms of such term, and words denoting any gender include all genders; (f) where a word or phrase is defined in this Agreement, each of its other grammatical forms has a corresponding meaning unless the context otherwise requires; (g) a reference to any specific Law or to any provision of any Law includes any amendment to, and any modification, re-enactment or successor thereof, any legislative provision substituted therefor and all rules, regulations and statutory instruments issued thereunder or pursuant thereto; (h) references to any agreement or Contract are to that agreement or Contract as amended, modified or supplemented; (i) they have been represented by legal counsel during the negotiation and execution and delivery of this Agreement and therefore waive the application of any Law, holding or rule of construction providing that ambiguities in an agreement or other document will be construed against the party drafting such agreement or document; (j) references to any Affiliates of Parent or Subsidiaries of Parent shall be deemed to include the Surviving Corporation; (k) the word “or” shall not be exclusive (i.e., “or” shall be deemed to mean “and/or”) unless the subjects of the conjunction are mutually exclusive; and (l) the measure of a period of one (1) month or year for purposes of this Agreement will be the date of the following month or year corresponding to the starting date; provided, however, if no corresponding date exists, then the end date of such period being measured will be the next actual date of the following month or year (for example, one month following August 18 is September 18 and one month following August 31 is October 1). The headings contained in this Agreement are for convenience of reference only, shall not be deemed to be a part of this Agreement and shall not be referred to in connection with the construction or interpretation of this Agreement. All references to “Dollars” or “$” are to United States Dollars, unless expressly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CONTINGENT VALUE RIGHTS</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CVRs</w:t>
      </w:r>
      <w:r>
        <w:rPr>
          <w:rFonts w:ascii="Times New Roman;Times;Serif" w:hAnsi="Times New Roman;Times;Serif"/>
          <w:b w:val="false"/>
          <w:i w:val="false"/>
          <w:caps w:val="false"/>
          <w:smallCaps w:val="false"/>
          <w:sz w:val="20"/>
        </w:rPr>
        <w:t>. The CVRs represent the contractual rights of the Holders to receive the Milestone Payment, if any, pursuant to this Agreement.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Nontransferable</w:t>
      </w:r>
      <w:r>
        <w:rPr>
          <w:rFonts w:ascii="Times New Roman;Times;Serif" w:hAnsi="Times New Roman;Times;Serif"/>
          <w:b w:val="false"/>
          <w:i w:val="false"/>
          <w:caps w:val="false"/>
          <w:smallCaps w:val="false"/>
          <w:sz w:val="20"/>
        </w:rPr>
        <w:t xml:space="preserve">. The CVRs may not be sold, assigned, transferred, pledged, encumbered or in any other manner transferred or disposed of, in whole or in part, other than through a Permitted Transfer. Any attempted sale, assignment, transfer, pledge, encumbrance or disposition of a CVR that is not a Permitted Transfer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The CVRs will not be listed on any quotation system or traded on any securities exchange.</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No Certificate; Registration; Registration of Transfer; Change of Address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will be issued in book-entry form only and will not be evidenced by a certificate or other instrument.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the Rights Agent will keep a register (the “</w:t>
      </w:r>
      <w:r>
        <w:rPr>
          <w:rFonts w:ascii="Times New Roman;Times;Serif" w:hAnsi="Times New Roman;Times;Serif"/>
          <w:b/>
          <w:i w:val="false"/>
          <w:caps w:val="false"/>
          <w:smallCaps w:val="false"/>
          <w:sz w:val="20"/>
        </w:rPr>
        <w:t>CVR Register</w:t>
      </w:r>
      <w:r>
        <w:rPr>
          <w:rFonts w:ascii="Times New Roman;Times;Serif" w:hAnsi="Times New Roman;Times;Serif"/>
          <w:b w:val="false"/>
          <w:i w:val="false"/>
          <w:caps w:val="false"/>
          <w:smallCaps w:val="false"/>
          <w:sz w:val="20"/>
        </w:rPr>
        <w:t xml:space="preserve">”) for the purpose of identifying the Holders of CVRs, determining the Holders’ entitlement to CVRs, and registering CVRs and Permitted Transfers thereof. The CVR Register will initially show one position for Cede &amp; Co. representing shares of Parent Common Stock held by DTC on behalf of the street holders of the shares of Parent Common Stock held by such holders as of the Effective Time. The Rights Agent will have no responsibility whatsoever directly to the street name holders or DTC participants with respect to transfers of CVRs. With respect to any payments to be made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the Rights Agent will accomplish the payment to any former street name holders of Parent Common Stock by sending a lump sum payment to DTC. The Rights Agent will have no responsibilities whatsoever with regard to the distribution of payments by DTC to such street name holders. Notwithstanding anything in this Agreement to the contrary, neither Parent nor any of its Affiliates will have any responsibility or liability whatsoever to any Person under or in connection with this Agreement other than the Holders and the Rights Agent. The Parent may receive and inspect a copy of the CVR Register, from time to time, upon written request made to the Rights Agent by the Parent. As soon as practicable after receipt of such request, the Rights Agent shall deliver a copy of the CVR Register, as then in effect, to the Parent at the address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restrictions on transferability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every request made to transfer the CVRs must be in writing and accompanied by a written instrument of transfer and other documentation reasonably requested by the Rights Agent in form reasonably satisfactory to the Rights Agent pursuant to its guidelines, which may include, if applicable, a guaranty of signature by an “eligible guarantor institution” that is a member or participant in the Securities Transfer Agents Medallion Program, duly executed by the Holder thereof, the Holder’s attorney duly authorized in writing, the Holder’s personal representative or the Holder’s survivor, as applicable, and setting forth in reasonable detail the circumstances relating to the transfer; provided that, with respect to any Holder located in a jurisdiction where a Medallion Guarantee is not reasonably available, the Rights Agent shall accept such alternative evidence of authorization and authenticity of signature as the Rights Agent may reasonably require, including a notarized signature or a guarantee from a bank or financial institution reasonably acceptable to the Rights Agent.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register the transfer of the CVRs in the CVR Register and notify Parent in writing of the same. Parent and the Rights Agent may require evidence of payment of a sum sufficient to cover any stamp, documentary, registration or other Tax or governmental charge that is imposed in connection with any such registration of transfer. The Rights Agent shall have no duty or obligation to take any action under any section of this Agreement that requires the payment by the Holder of applicable Taxes or charges unless and until the Rights Agent is satisfied that all such Taxes or 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unless and until registered in the CVR Register, and any transfer not duly registered in the CVR Register will be void and invalid. All costs and expenses related to any transfer or assignment of the CVRs (including the cost of any transfer Tax) will be the responsibility of the transferor.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Procedures;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Milestone is achieved on or prior to the Expiration Date, Parent shall promptly (and in no event later than ten (10) Business Days after the date on which the FDA issues the Priority Review Voucher) deliver to the Rights Agent a written notice (a “</w:t>
      </w:r>
      <w:r>
        <w:rPr>
          <w:rFonts w:ascii="Times New Roman;Times;Serif" w:hAnsi="Times New Roman;Times;Serif"/>
          <w:b/>
          <w:i w:val="false"/>
          <w:caps w:val="false"/>
          <w:smallCaps w:val="false"/>
          <w:sz w:val="20"/>
        </w:rPr>
        <w:t>Milestone Notice</w:t>
      </w:r>
      <w:r>
        <w:rPr>
          <w:rFonts w:ascii="Times New Roman;Times;Serif" w:hAnsi="Times New Roman;Times;Serif"/>
          <w:b w:val="false"/>
          <w:i w:val="false"/>
          <w:caps w:val="false"/>
          <w:smallCaps w:val="false"/>
          <w:sz w:val="20"/>
        </w:rPr>
        <w:t xml:space="preserve">”), accompanied by an Officer’s Certificate, which shall: (i) confirm that the FDA has issued the Priority Review Voucher in connection with the Product; (ii) include the date of such issuance; and (iii) state that the CVR continues in full force. For the avoidance of doubt, delivery of the Milestone Notice shall not trigger payment of the Milestone Payment, which shall be paid only as provided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Milestone has been achieved on or prior to the Expiration Date, Parent shall pay, or cause to be paid, the Milestone Payment to the Holders on the Milestone Payment Date. On or before the Milestone Payment Date, Parent shall deliver to the Rights Agent, in cash, an amount equal to the Milestone Payment Amount. The Rights Agent shall promptly (and in no event later than five (5) Business Days after receipt thereof) distribute the applicable Milestone Payment Amount to each Holder, as reflected on the CVR Register as of the close of business on the date of the Milestone Notice, subject to any deduction or withholding of Taxes in accordance with </w:t>
      </w:r>
      <w:r>
        <w:rPr>
          <w:rFonts w:ascii="Times New Roman;Times;Serif" w:hAnsi="Times New Roman;Times;Serif"/>
          <w:b w:val="false"/>
          <w:i w:val="false"/>
          <w:caps w:val="false"/>
          <w:smallCaps w:val="false"/>
          <w:sz w:val="20"/>
          <w:u w:val="single"/>
        </w:rPr>
        <w:t>Section 2.4(g)</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if at any time after the Milestone has been achieved and prior to payment of the Milestone Payment, Parent or the Surviving Corporation undergoes a Change of Control, then the Milestone Payment shall become immediately due and payable, and the Milestone Payment Date shall instead be the earlier of (i) the date of consummation of such Change of Control and (ii) ninety (90) days following the Monetization Event Date. Parent shall provide the Rights Agent with written notice of any pending Change of Control as promptly as practicable, and in any event no later than five (5) Business Days prior to the anticipated consummation thereof.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(i) if the Milestone has been achieved on or prior to the Expiration Date but a Monetization Event has not yet occurred on or prior to the Expiration Date, the CVRs shall continue in full force and effect and shall not expire until the Milestone Payment has been paid in full, and (ii) the CVRs shall expire without payment if and only if the Milestone has not been achieved on or prior to the Expiration Date. For the avoidance of doubt, the CVRs shall survive the Expiration Date so long as the Milestone was achieved on or prior to the Expiration Date.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Milestone Payment shall be paid in United States dollars (i) by electronic payment to the address of such Holder reflected in the CVR Register as of the close of business on the date of the Milestone Payment Date or (ii) with respect to any such Holder that has provided the Rights Agent wiring instructions in writing as of the close of business on the date of the Milestone Payment Date, by wire transfer of immediately available funds to the account specified on such instructions. The Milestone Payment Amount payable to any Holder shall be rounded down to the nearest cent.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be entitled to deduct and withhold, or cause the Rights Agent to deduct and withhold, from any Milestone Payment Amount such amounts as may be required to be deducted and withheld therefrom under applicable Tax Law, as may reasonably be determined by Parent or the Rights Agent. Parent shall use commercially reasonable efforts to, or shall cause the Rights Agent to use commercially reasonable efforts to, take all actions that may be necessary to ensure that any amounts withheld in respect of Taxes are timely remitted to the appropriate Governmental Entity and to reduce or eliminate any deduction or withholding imposed with respect to the CVRs or any payments thereunder. To the extent any amounts are so deducted and withheld and properly and timely remitted to the appropriate Governmental Entity, such amounts shall be treated for all purposes of this Agreement as having been paid to the Person in respect of whom such deduction and withholding was made.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Milestone Payment Amount delivered to the Rights Agent that remains undistributed to a Holder one year after the date of the delivery of the Milestone Notice will be delivered by the Rights Agent to Parent, upon written demand, and any Holder will thereafter look only to Parent for payment of such Milestone Payment Amount, without interest.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Parent nor the Rights Agent will be liable to any Person in respect of any Milestone Payment Amount delivered to a public official pursuant to any applicable abandoned property, escheat or similar Law. In addition to and not in limitation of any other indemnity obligation herein, Parent agrees to indemnify and hold harmless Rights Agent with respect to any liability, penalty, cost or expense Rights Agent may incur or be subject to in connection with transferring such property to Parent.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indemnification provided by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survive the resignation, replacement or removal of the Rights Agent and the termination of this Agreement.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 Voting, Dividends or Interest; No Equity or Ownership Interest in Parent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shall not have any voting or dividend rights, and interest shall not accrue on any amounts payable on the CVRs to any Holder.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CVRs shall not represent any interests in the capital of, or any equity or ownership interest in, Parent, in any constituent company to the Merger Agreement or any of their respective Affiliates. It is hereby acknowledged and agreed that a CVR shall not constitute a security of Parent or any of its Affiliates.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be construed as conferring upon any Holder, by virtue of the CVRs, any rights or obligations of any kind or nature whatsoever as a stockholder of Parent or any of its Subsidiaries either at Law or in equity. The rights of any Holder and the obligations of Parent and its Affiliates and their respective officers, directors and controlling Persons are contract rights limited to those expressly set forth in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Parent and its directors and officers nor any of its Affiliates and their directors and officers will be deemed to have any fiduciary or similar duties to any Holders by virtue of this Agreement or the CVRs.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It is hereby acknowledged and agreed that the CVRs and the possibility of any payment hereunder with respect thereto are highly speculative and subject to numerous factors outside of Parent’s control, and there is no assurance that Holders will receive any payments under this Agreement or in connection with the CVRs. Each Holder acknowledges that it is highly possible that there will not be any Milestone Payments. It is further acknowledged and agreed that neither Parent, the Surviving Corporation, their Affiliates nor the Rights Agent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xml:space="preserve"> is an essential and material term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tab/>
      </w:r>
      <w:r>
        <w:rPr>
          <w:rFonts w:ascii="Times New Roman;Times;Serif" w:hAnsi="Times New Roman;Times;Serif"/>
          <w:b w:val="false"/>
          <w:i w:val="false"/>
          <w:caps w:val="false"/>
          <w:smallCaps w:val="false"/>
          <w:sz w:val="20"/>
          <w:u w:val="single"/>
        </w:rPr>
        <w:t>Ability to Abandon CVR</w:t>
      </w:r>
      <w:r>
        <w:rPr>
          <w:rFonts w:ascii="Times New Roman;Times;Serif" w:hAnsi="Times New Roman;Times;Serif"/>
          <w:b w:val="false"/>
          <w:i w:val="false"/>
          <w:caps w:val="false"/>
          <w:smallCaps w:val="false"/>
          <w:sz w:val="20"/>
        </w:rPr>
        <w:t xml:space="preserve">. A Holder may at any time, at such Holder’s option, abandon all of such Holder’s remaining rights in a CVR by transferring such CVR to Parent or to a Person nominated by Parent without consideration therefor, which Holder may effect via delivery of a written abandonment notice to Parent (with a copy to the Rights Agent). Nothing in this Agreement shall prohibit Parent or any Person nominated by Parent from offering to acquire or acquiring any CVRs for consideration from the Holders, in private transactions or otherwise, in its sole discretion (it being understood that Parent shall promptly notify the Rights Agent of any CVRs acquired by Parent or any Person nominated by Parent, and each such acquired CVR shall be automatically deemed extinguished and no longer outstanding for purposes of the definition of Acting Holders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hereunder).</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54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RIGHTS AGENT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hereby appoints the Rights Agent to act as rights agent for Parent in accordance with the express terms and conditions set forth in this Agreement (and no implied terms and conditions), and the Rights Agent hereby accepts such appointment. The Rights Agent will not have any liability for any actions taken, suffered, or not taken in connection with this Agreement, except to the extent such liability arises as a result of the Rights Agent’s willful misconduct, bad faith or gross negligence (which willful misconduct, bad faith or gross negligence must be determined by a court of competent jurisdiction in a final and non-appealable judgment).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not have any duty or responsibility in the case of the receipt of any written demand from any Holder with respect to any action or default by any Person, including, without limiting the generality of the foregoing, any duty or responsibility to initiate or attempt to initiate any proceedings at Law or otherwise or to make any demand upon Parent.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Certain Rights of the Rights Agent</w:t>
      </w:r>
      <w:r>
        <w:rPr>
          <w:rFonts w:ascii="Times New Roman;Times;Serif" w:hAnsi="Times New Roman;Times;Serif"/>
          <w:b w:val="false"/>
          <w:i w:val="false"/>
          <w:caps w:val="false"/>
          <w:smallCaps w:val="false"/>
          <w:sz w:val="20"/>
        </w:rPr>
        <w:t>. Parent hereby appoints the Rights Agent to act as rights agent for Parent in accordance with the express terms and conditions hereof, the Rights Agent undertakes to perform such duties and only such duties as are specifically set forth in this Agreement, and no implied covenants or obligations will be read into this Agreement against the Rights Agent.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report to Parent;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may rely and will be protected and held harmless by Parent in acting or refraining from acting upon any resolution, certificate, statement, instrument, opinion, report, notice, request, direction, consent, order or other paper or document believed by it in the absence of bad faith to be genuine and to have been signed or presented by the proper party or parties;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the Rights Agent will deem it desirable that a matter be proved or established prior to taking, suffering or omitting to take any action hereunder, the Rights Agent may rely upon an Officer’s Certificate delivered to the Rights Agent, which certificate shall be full authorization and protection to the Rights Agent, and the Rights Agent shall, in the absence of gross negligence, bad faith, or willful misconduct (each as determined by a final non-appealable judgement of a court of competent jurisdiction) on its part, incur no liability and be held harmless by Parent for or in respect of any action taken, suffered, or omitted to be taken by it under the provisions of this Agreement in reliance upon such Officer’s Certificate;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may engage and consult with counsel of its selection and the advice of such counsel or any opinion of counsel will be full and complete authorization and protection to the Rights Agent, and the Rights Agent shall be held harmless by Parent in respect of any action taken, suffered or omitted by it in reliance thereon in the absence of bad faith, gross negligence or willful misconduct (each as determined by a final non-appealable judgement of a court of competent jurisdiction) on the part of the Rights Agent in the selection and continued employment of such counsel;</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permissive rights of the Rights Agent to do things enumerated in this Agreement will not be construed as a duty;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not be required to give any note or surety in respect of the execution of its powers under, or otherwise in respect of the premises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agrees to indemnify the Rights Agent for, and hold the Rights Agent harmless from and against, any losses, liability, damage, judgement, fine, penalty, claim, demands, suits or expenses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for any action taken, suffered or incurred by the Rights Agent arising out of or in connection with the execution, acceptance, administration, exercise and performance by the Rights Agent of its duties under this Agreement, including the reasonable and documented out-of-pocket costs and expenses of defending the Rights Agent against any Loss, unless such Loss has been determined by a final non-appealable judgement of a court of competent jurisdiction to be a result of the Rights Agent’s fraud, willful misconduct, bad faith or gross negligence;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in this Agreement to the contrary, (i)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and (ii) the aggregate liability of the Rights Agent arising in connection with this Agreement, whether in contract, or in tort, or otherwise, is limited to, and shall not exceed, the amount paid or payable hereunder by Parent to the Rights Agent as fees and charges during the twelve (12) months immediately preceding the event for which recovery from the Rights Agent is being sought;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agrees (i) to pay the fees and expenses of the Rights Agent in connection with this Agreement in accordance with the fee schedule agreed upon in writing by the Rights Agent and Parent and incorporated herein by reference; and (ii) to reimburse the Rights Agent for all reasonable and necessary out-of-pocket expenses and other charges of any kind and nature paid or incurred by it in connection with the preparation, delivery, negotiation or amendment of this Agreement and the administration, exercise or performance by the Rights Agent of its duties hereunder, including all taxes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Agent shall act hereunder solely as agent for Parent and shall not assume any obligations or relationship of agency or trust with any of the owners or Holders of the CVRs;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shall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Agent shall not be deemed to have knowledge of any event of which it was supposed to receive notice thereof hereunder, and the Rights Agent shall be fully protected and shall not incur any liability for failing to take action in connection therewith, in each case, unless and until it has received such notice;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Rights Agent shall neither be responsible for, nor chargeable with, knowledge of, nor have any requirements to comply with, the terms and conditions of the Merger Agreement, nor shall the Rights Agent be required to determine if any Person has complied with the Merger Agreement, nor shall any additional obligations of the Rights Agent be inferred from the terms of the Merger Agreement even though reference thereto may be made in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Rights Agent may execute and exercise any of the rights or powers hereby vested in it or perform any duty hereunder (i) itself (through its directors, officers, or employees) or (ii) through its agents, representatives, attorneys, custodians and/or nominees and the Rights Agent shall not be answerable or accountable for any act, default, neglect or misconduct of any such agents, representatives, attorneys, custodians and/or nominees, absent their gross negligence, bad faith or willful or intentional misconduct (each as determined by a final non-appealable judgment of a court of competent jurisdiction) in the selection and continued employment thereof;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The indemnification provided by Parent to Rights Agent pursuant to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survive the resignation, replacement or removal of the Rights Agent and the termination of this Agreement.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giving written notice thereof to Parent and the Holders, specifying a date when such resignation will take effect, which notice will be sent at least thirty (30) days prior to the date so specified. Parent has the right to remove the Rights Agent at any time. Notice of such removal will be given by Parent to the Rights Agent, which notice will be sent at least thirty (30) days prior to the date so specified.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Person would be eligible for appointment as a successor Rights Agent under this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The purchase of all or substantially all of the Rights Agent’s assets employed in the performance of the transfer agent activities shall be deemed a merger or consolidation for purposes of this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If the Rights Agent provides notice of its intent to resign, is removed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or becomes incapable of acting, Parent will as soon as is reasonably possible appoint a qualified successor Rights Agent who may be a Holder but shall not be an officer of the Parent and who, unless otherwise consented to in writing by the Acting Holders, shall be a transfer agent of national reputation or the corporate trust department of a commercial bank. Notwithstanding the foregoing, if Parent fails to make such appointment within a period of thirty (30) days after giving notice of such removal or after it has been notified in writing of such resignation or incapacity by the resigning or incapacitated Rights Agent, then the incumbent Rights Agent or any Holder may apply to any court of competent jurisdiction for the appointment of a new Rights Agent. The successor Rights Agent so appointed will, forthwith upon its acceptance of such appointment in accordance with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successor Rights Agent.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will give notice to the Holders of each resignation and each removal of a Rights Agent and each appointment of a successor Rights Agent. Each notice will include the name and address of the successor Rights Agent. If Parent fails to send such notice within ten (10) days after acceptance of appointment by a successor Rights Agent in accordance with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the successor Rights Agent will cause the notice to be mailed at the expense of Parent. Failure to give any notice provided for in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however, shall not affect the legality or validity of the resignation or removal of the Rights Agent or the appointment of the successor Rights Agents, as the case may be.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3.4 Acceptance of Appointment by Successor</w:t>
      </w:r>
      <w:r>
        <w:rPr>
          <w:rFonts w:ascii="Times New Roman;Times;Serif" w:hAnsi="Times New Roman;Times;Serif"/>
          <w:b w:val="false"/>
          <w:i w:val="false"/>
          <w:caps w:val="false"/>
          <w:smallCaps w:val="false"/>
          <w:sz w:val="20"/>
        </w:rPr>
        <w:t xml:space="preserve">. Every successor Rights Agent appointed pursuant to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hereunder will, at or prior to such appointment,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the successor Rights Agent, the retiring Rights Agent will execute and deliver an instrument transferring to the successor Rights Agent all the rights, powers, duties and trusts of the retiring Rights Agent, except such rights which survive its resignation or removal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Holding of Funds</w:t>
      </w:r>
      <w:r>
        <w:rPr>
          <w:rFonts w:ascii="Times New Roman;Times;Serif" w:hAnsi="Times New Roman;Times;Serif"/>
          <w:b w:val="false"/>
          <w:i w:val="false"/>
          <w:caps w:val="false"/>
          <w:smallCaps w:val="false"/>
          <w:sz w:val="20"/>
        </w:rPr>
        <w:t>. All funds under this Agreement that are to be distributed or applied by the Rights Agent in the performance of services hereunder (the “</w:t>
      </w:r>
      <w:r>
        <w:rPr>
          <w:rFonts w:ascii="Times New Roman;Times;Serif" w:hAnsi="Times New Roman;Times;Serif"/>
          <w:b/>
          <w:i w:val="false"/>
          <w:caps w:val="false"/>
          <w:smallCaps w:val="false"/>
          <w:sz w:val="20"/>
        </w:rPr>
        <w:t>Funds</w:t>
      </w:r>
      <w:r>
        <w:rPr>
          <w:rFonts w:ascii="Times New Roman;Times;Serif" w:hAnsi="Times New Roman;Times;Serif"/>
          <w:b w:val="false"/>
          <w:i w:val="false"/>
          <w:caps w:val="false"/>
          <w:smallCaps w:val="false"/>
          <w:sz w:val="20"/>
        </w:rPr>
        <w:t>”) shall be held by the Company until delivered to the Rights Agent in accordance with Section 2.4(b). Following receipt thereof, the Rights Agent as agent for Parent shall deposit the Funds in one or more bank accounts to be maintained by the Rights Agent in its name as agent for Parent. Until paid pursuant to the terms of this Agreement, the Rights Agent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The Rights Agent shall not be obligated to pay such interest, dividends or earnings to the Parent, any Holder,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COVENANTS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List of Holders</w:t>
      </w:r>
      <w:r>
        <w:rPr>
          <w:rFonts w:ascii="Times New Roman;Times;Serif" w:hAnsi="Times New Roman;Times;Serif"/>
          <w:b w:val="false"/>
          <w:i w:val="false"/>
          <w:caps w:val="false"/>
          <w:smallCaps w:val="false"/>
          <w:sz w:val="20"/>
        </w:rPr>
        <w:t xml:space="preserve">. Parent will furnish or cause to be furnished to the Rights Agent, in such form as Parent receives from Parent’s transfer agent, the Depositary or any other agent performing similar services for Parent, the names and addresses of the Holders entitled to receive CVRs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of the Merger Agreement within fifteen (15) Business Days after the Effective Time. Until such list of Holders is furnished to the Rights Agent, the Rights Agent shall have no duties, responsibilities or obligations with respect to keeping the CVR Register, providing notices or making payments to such 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Limited Obligations of Public Company</w:t>
      </w:r>
      <w:r>
        <w:rPr>
          <w:rFonts w:ascii="Times New Roman;Times;Serif" w:hAnsi="Times New Roman;Times;Serif"/>
          <w:b w:val="false"/>
          <w:i w:val="false"/>
          <w:caps w:val="false"/>
          <w:smallCaps w:val="false"/>
          <w:sz w:val="20"/>
        </w:rPr>
        <w:t>. Notwithstanding anything herein to the contrary, and for the avoidance of doubt, none of the Parent or any of its Affiliates (or any directors, officer, employee, or other representative of the foregoing) owes any fiduciary duty or similar duty to any Holder in respect of the development of the Product. For the avoidance of doubt, Parent shall not be required to notify any Holder of, or obtain any consent from any Holder in connection with, any decisions relating to the Product.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Priority Review Voucher Disposition</w:t>
      </w:r>
      <w:r>
        <w:rPr>
          <w:rFonts w:ascii="Times New Roman;Times;Serif" w:hAnsi="Times New Roman;Times;Serif"/>
          <w:b w:val="false"/>
          <w:i w:val="false"/>
          <w:caps w:val="false"/>
          <w:smallCaps w:val="false"/>
          <w:sz w:val="20"/>
        </w:rPr>
        <w:t>. Following achievement of the Milestone, Parent shall not take any action or fail to take any action, in either case, with the primary purpose of causing or permitting the lapse, abandonment, or revocation of the Priority Review Voucher. For the avoidance of doubt, the sale or transfer of the Priority Review Voucher to a third party shall constitute a Monetization Event and shall not require consent of the Acting Holders, provided that such transaction does not otherwise breach any obligation of Parent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Tax Reporting</w:t>
      </w:r>
      <w:r>
        <w:rPr>
          <w:rFonts w:ascii="Times New Roman;Times;Serif" w:hAnsi="Times New Roman;Times;Serif"/>
          <w:b w:val="false"/>
          <w:i w:val="false"/>
          <w:caps w:val="false"/>
          <w:smallCaps w:val="false"/>
          <w:sz w:val="20"/>
        </w:rPr>
        <w:t>. The Rights Agent shall comply with all applicable Laws regarding Tax reporting with respect to any Milestone Payment paid to the Holders pursuant to this Agreement in reliance on information provided to the Rights Agent by the Parent or the applicable Holder. The Parent shall provide the Rights Agent with such information as the Rights Agent reasonably requests to comply with such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AMENDMENTS</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Amendments 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at any time and from time to time, may (without the consent of any Person, other than the Rights Agent with such consent not to be unreasonably withheld, conditioned or delayed), may enter into one or more amendments hereto, for any of the following purposes: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succession of another Person as a successor Rights Agent and the assumption by any such successor of the covenants and obligations of the Rights Agent herein;</w:t>
      </w:r>
    </w:p>
    <w:p>
      <w:pPr>
        <w:pStyle w:val="TextBody"/>
        <w:bidi w:val="0"/>
        <w:spacing w:before="0" w:after="0"/>
        <w:ind w:left="720" w:right="0" w:firstLine="252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add to the covenants of Parent such further covenants, restrictions, conditions or provisions as Parent and the Rights Agent will consider to be for the protection and benefit of the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do not adversely affect the interests of the Holders;</w:t>
      </w:r>
    </w:p>
    <w:p>
      <w:pPr>
        <w:pStyle w:val="TextBody"/>
        <w:bidi w:val="0"/>
        <w:spacing w:before="0" w:after="0"/>
        <w:ind w:left="720" w:right="0" w:firstLine="252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may be necessary or appropriate to ensure that the CVRs are not subject to registration under the Securities Act of 1933, as amended, or the Securities Exchange Act of 1934, as amended, and the rules and regulations promulgated thereunder, or any applicable state securities or “blue sky” laws;</w:t>
      </w:r>
    </w:p>
    <w:p>
      <w:pPr>
        <w:pStyle w:val="TextBody"/>
        <w:bidi w:val="0"/>
        <w:spacing w:before="0" w:after="0"/>
        <w:ind w:left="720" w:right="0" w:firstLine="252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cancel or reduce the number of CVRs, in the event any Holder agrees to renounce such Holder’s rights under this Agreement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or</w:t>
      </w:r>
    </w:p>
    <w:p>
      <w:pPr>
        <w:pStyle w:val="TextBody"/>
        <w:bidi w:val="0"/>
        <w:spacing w:before="0" w:after="0"/>
        <w:ind w:left="720" w:right="0" w:firstLine="252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as may be necessary or appropriate to ensure that Parent complies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amendment shall not adversely affect the interests of the Holders.</w:t>
      </w:r>
    </w:p>
    <w:p>
      <w:pPr>
        <w:pStyle w:val="TextBody"/>
        <w:bidi w:val="0"/>
        <w:spacing w:before="0" w:after="0"/>
        <w:ind w:left="720" w:right="0" w:firstLine="25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Parent and the Rights Agent of any amendment pursuant to the provisions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(which amendments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may be made without the consent of the Holders), any other amendment shall require the written consent of the Acting Holders (whether in evidence in writing or taken at a meeting of the Holders). Promptly after the execution by Parent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54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Execution of Amendments</w:t>
      </w:r>
      <w:r>
        <w:rPr>
          <w:rFonts w:ascii="Times New Roman;Times;Serif" w:hAnsi="Times New Roman;Times;Serif"/>
          <w:b w:val="false"/>
          <w:i w:val="false"/>
          <w:caps w:val="false"/>
          <w:smallCaps w:val="false"/>
          <w:sz w:val="20"/>
        </w:rPr>
        <w:t xml:space="preserve">. In executing any amendment permitted by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the Rights Agent will be entitled to receive, and will be fully protected in relying upon, an opinion of counsel selected by Parent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rights, privileges, covenants or duties under this Agreement or otherwise.</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Effect of Amendments</w:t>
      </w:r>
      <w:r>
        <w:rPr>
          <w:rFonts w:ascii="Times New Roman;Times;Serif" w:hAnsi="Times New Roman;Times;Serif"/>
          <w:b w:val="false"/>
          <w:i w:val="false"/>
          <w:caps w:val="false"/>
          <w:smallCaps w:val="false"/>
          <w:sz w:val="20"/>
        </w:rPr>
        <w:t xml:space="preserve">. Upon the execution of any amendment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this Agreement will be modified in accordance therewith, such amendment will form a part of this Agreement for all purposes and every Holder will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OTHER PROVISIONS OF GENERAL APPLICATION</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Notices to Rights Agent and Parent</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two Business Days after being sent for next Business Day delivery, fees prepaid, via a reputable international overnight courier service, (b) upon delivery in the case of delivery by hand, or (c) on the date delivered if sent by email (to the extent that no “bounce back” or similar message indicating non-delivery is received with respect thereto) prior to 5:00 p.m. Eastern time, otherwise on the next succeeding Business Day,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to it at: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Compliance Department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to it at: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Bridge Pkwy Suite #102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Jeet Mahal, Chief Executive Officer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jmahal@jaspertx.com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rPr>
      </w:pPr>
      <w:r>
        <w:rPr>
          <w:caps/>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d</w:t>
      </w:r>
      <w:r>
        <w:rPr>
          <w:rFonts w:ascii="Times New Roman;Times;Serif" w:hAnsi="Times New Roman;Times;Serif"/>
          <w:b w:val="false"/>
          <w:i w:val="false"/>
          <w:caps w:val="false"/>
          <w:smallCaps w:val="false"/>
          <w:sz w:val="20"/>
        </w:rPr>
        <w:t>LA Piper LLP (US)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Liberty Place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 Market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5000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Fahd M.T. Riaz; Dylan Caplan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Fahd.Riaz@us.dlapiper.com; Dylan.Caplan@us.dlapiper.com</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Agent or Parent may specify a different address by giving notice in accordance with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Notice to Holders</w:t>
      </w:r>
      <w:r>
        <w:rPr>
          <w:rFonts w:ascii="Times New Roman;Times;Serif" w:hAnsi="Times New Roman;Times;Serif"/>
          <w:b w:val="false"/>
          <w:i w:val="false"/>
          <w:caps w:val="false"/>
          <w:smallCaps w:val="false"/>
          <w:sz w:val="20"/>
        </w:rPr>
        <w:t>. Where this Agreement provides for notice to Holders, such notice will be sufficiently given (unless otherwise herein expressly provided) if in writing and transmitted through the facilities of DTC in accordance with DTC’s procedures or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Parent Successors and Assigns; Change of Control</w:t>
      </w:r>
      <w:r>
        <w:rPr>
          <w:rFonts w:ascii="Times New Roman;Times;Serif" w:hAnsi="Times New Roman;Times;Serif"/>
          <w:b w:val="false"/>
          <w:i w:val="false"/>
          <w:caps w:val="false"/>
          <w:smallCaps w:val="false"/>
          <w:sz w:val="20"/>
        </w:rPr>
        <w:t>. Parent may assign any or all of its rights, interests and obligations hereunder, in its sole discretion and without the consent of the Acting Holders or any other Person, (i) to any controlled Affiliate of Parent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but only for so long as the Assignee remains a controlled Affiliate of Parent and provided that the Assignee agrees to assume and be bound by all of the terms and conditions of this Agreement; provided further that, in connection with any assignment to an Assignee, Parent shall, and shall agree to, remain liable for the performance by the Assignee of all obligations, duties and covenants of Parent under this Agreement, or (ii) in connection with a Change of Control. In connection with any Change of Control, the successor or surviving entity shall, as a condition to the consummation of such Change of Control, expressly assume in writing all of the obligations of Parent under this Agreement and agree to be bound by all of the terms and conditions hereof, and Parent shall deliver to the Rights Agent an Officer’s Certificate stating that such Change of Control complies with the applicable provisions of this Agreement and that all conditions precedent herein provided for relating to such transaction have been complied with. Subject to the preceding sentences, this Agreement will be binding upon, and shall be enforceable by and inure solely to the benefit of, Parent’s successors and each Assignee. The Rights Agent may not assign this Agreement without Parent’s prior written consent.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Benefits of Agreement</w:t>
      </w:r>
      <w:r>
        <w:rPr>
          <w:rFonts w:ascii="Times New Roman;Times;Serif" w:hAnsi="Times New Roman;Times;Serif"/>
          <w:b w:val="false"/>
          <w:i w:val="false"/>
          <w:caps w:val="false"/>
          <w:smallCaps w:val="false"/>
          <w:sz w:val="20"/>
        </w:rPr>
        <w:t xml:space="preserve">. Nothing in this Agreement, express or implied, will give to any Person (other than the Rights Agent, the Rights Agent’s permitted successors and assigns, Parent, Parent’s successors and assigns, the Holders and the Holders’ successors and assigns pursuant to a Permitted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Transfers are limited to those expressly provided in this Agreement. Notwithstanding anything to the contrary contained herein, (a) except for the rights of the Rights Agent set forth herein, the Acting Holders will have the sole right, on behalf of all Holders, by virtue of or under any provision of this Agreement, to institute any action or proceeding with respect to this Agreement, and, with the exception of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no individual Holder or other group of Holders will be entitled to exercise such rights and (b) any Holder or Holder’s successor or assign pursuant to a Permitted Transfer may agree to renounce, in whole or in part, its rights under this Agreement by written notice to the Rights Agent and Parent, which notice, if given, shall be irrevocable.</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54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the CVRs and all actions arising under this Agreement or in connection herewith or therewith shall be governed by and construed in accordance with the Laws of the State of Delaware, without giving effect to any laws, rules or provisions that would cause the application of the laws of any other jurisdiction other than the State of Delaware except that the internal laws of the State of New York, without regard to the laws of any other jurisdiction that might be applied because of the conflicts of laws principles of the State of New York, shall apply with respect to any matters relating to the internal affairs of Rights Agent as a New York corporation.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any action or proceeding arising out of or relating to this Agreement or any of the CVRs: (i) each of the parties irrevocably and unconditionally consents and submits to the exclusive jurisdiction and venue of the Chancery Court of the State of Delaware and any state appellate court therefrom or, if such court lacks subject matter jurisdiction, the United States District Court sitting in New Castle County in the State of Delaware (it being agreed that the consents to jurisdiction and venue set forth in this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xml:space="preserve"> shall not constitute general consents to service of process in the State of Delaware and shall have no effect for any purpose except as provided in this paragraph and shall not be deemed to confer rights on any Person other than the parties); and (ii) each of the parties irrevocably consents to service of process by first class certified mail, return receipt requested, postage prepaid, to the address at which such party is to receive notice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The parties agree that a final judgment in any such action or proceeding shall be conclusive and may be enforced in other jurisdictions by suit on the judgment or in any other manner provided by applicable Law; provided, however, that nothing in the foregoing shall restrict any party’s rights to seek any post-judgment relief regarding, or any appeal from, such final trial court judgment.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PARTIES TO THIS AGREEMENT IRREVOCABLY WAIVES ANY AND ALL RIGHT TO TRIAL BY JURY IN ANY LEGAL PROCEEDING BETWEEN THE PARTIES HERETO (WHETHER BASED ON CONTRACT, TORT OR OTHERWISE). EACH PARTY HERETO (A) MAKES THIS WAIVER VOLUNTARILY AND (B) ACKNOWLEDGES THAT SUCH PARTY HAS BEEN INDUCED TO ENTER INTO THIS AGREEMENT BY, AND AMONG OTHER THINGS, THE MUTUAL WAIVERS CONTAINED IN THIS </w:t>
      </w:r>
      <w:r>
        <w:rPr>
          <w:rFonts w:ascii="Times New Roman;Times;Serif" w:hAnsi="Times New Roman;Times;Serif"/>
          <w:b w:val="false"/>
          <w:i w:val="false"/>
          <w:caps w:val="false"/>
          <w:smallCaps w:val="false"/>
          <w:sz w:val="20"/>
          <w:u w:val="single"/>
        </w:rPr>
        <w:t>SECTION 7.5(c)</w:t>
      </w:r>
      <w:r>
        <w:rPr>
          <w:rFonts w:ascii="Times New Roman;Times;Serif" w:hAnsi="Times New Roman;Times;Serif"/>
          <w:b w:val="false"/>
          <w:i w:val="false"/>
          <w:caps w:val="false"/>
          <w:smallCaps w:val="false"/>
          <w:sz w:val="20"/>
        </w:rPr>
        <w: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54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and the application of such provision to other Persons or circumstances shall be interpreted so as reasonably to effect the intent of the parties. The parties further agree to replace such invalid or unenforceable provision of this Agreement with a valid and enforceable provision that will achieve, to the extent possible, the economic, business and other purposes of such invalid or unenforceable provision. If any excluded provision, or the application thereof, shall materially and adversely affect the rights, immunities, liabilities, duties, responsibilities or obligations of the Rights Agent, the Rights Agent shall be entitled to resign immediately upon written notice to the Parent.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Counterparts and Signature</w:t>
      </w:r>
      <w:r>
        <w:rPr>
          <w:rFonts w:ascii="Times New Roman;Times;Serif" w:hAnsi="Times New Roman;Times;Serif"/>
          <w:b w:val="false"/>
          <w:i w:val="false"/>
          <w:caps w:val="false"/>
          <w:smallCaps w:val="false"/>
          <w:sz w:val="20"/>
        </w:rPr>
        <w:t>. This Agreement may be executed in multiple counterparts (including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will expire and be of no force and effect, the parties will have no liability hereunder (other than with respect to monies due and owing by Parent to the Rights Agent or any other rights of the Rights Agent which expressly survive the termination of this Agreement), and no additional payments will be required to be made, upon the later of (i) the Expiration Date and (ii) the payment of the Milestone Payment Amount to the Rights Agent required to be paid under this Agreement and the payment of the full amount of all Milestone Payment Amounts to the Holders by the mailing by Rights Agent to the address of such Holders reflected in the CVR Register. Notwithstanding the foregoing, if no Milestone has been achieved on or prior to the Expiration Date, this Agreement shall automatically terminate and be of no further force or effect following the Expiration Date, without any further action by any party hereto.</w:t>
      </w:r>
    </w:p>
    <w:p>
      <w:pPr>
        <w:pStyle w:val="TextBody"/>
        <w:bidi w:val="0"/>
        <w:spacing w:before="0" w:after="0"/>
        <w:ind w:left="5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As between the Rights Agent and the other parties hereto, this Agreement (including the schedules, annexes and exhibits hereto and the documents and instruments referred to herein) contains the entire understanding of the parties hereto and thereto with reference to the transactions and matters contemplated hereby and supersedes all prior agreements, written or oral, among the parties with respect hereto and thereto. If and to the extent that any provision of this Agreement is inconsistent or conflicts with the Merger Agreement, this Agreement will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Rights Agent and Parent agree that all books, records, information and data pertaining to the business of the other party, including inter alia, personal, non-public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a valid order of an arbitration panel, court or Governmental Entity of competent jurisdiction or is otherwise required by law or regulation, including SEC or Nasdaq Rules, or pursuant to subpoenas from state or federal government authorities (e.g., in divorce and criminal 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caused this Agreement to be executed on its behalf by its duly authorized officers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6409" w:type="dxa"/>
        <w:jc w:val="left"/>
        <w:tblInd w:w="0" w:type="dxa"/>
        <w:tblLayout w:type="fixed"/>
        <w:tblCellMar>
          <w:top w:w="0" w:type="dxa"/>
          <w:left w:w="0" w:type="dxa"/>
          <w:bottom w:w="0" w:type="dxa"/>
          <w:right w:w="0" w:type="dxa"/>
        </w:tblCellMar>
      </w:tblPr>
      <w:tblGrid>
        <w:gridCol w:w="75"/>
        <w:gridCol w:w="2077"/>
        <w:gridCol w:w="4257"/>
      </w:tblGrid>
      <w:tr>
        <w:trPr/>
        <w:tc>
          <w:tcPr>
            <w:tcW w:w="75" w:type="dxa"/>
            <w:tcBorders/>
            <w:vAlign w:val="center"/>
          </w:tcPr>
          <w:p>
            <w:pPr>
              <w:pStyle w:val="TableContents"/>
              <w:bidi w:val="0"/>
              <w:spacing w:before="0" w:after="283"/>
              <w:jc w:val="left"/>
              <w:rPr/>
            </w:pPr>
            <w:r>
              <w:rPr/>
              <w:t> </w:t>
            </w:r>
          </w:p>
        </w:tc>
        <w:tc>
          <w:tcPr>
            <w:tcW w:w="6334" w:type="dxa"/>
            <w:gridSpan w:val="2"/>
            <w:tcBorders/>
            <w:vAlign w:val="center"/>
          </w:tcPr>
          <w:p>
            <w:pPr>
              <w:pStyle w:val="TableContents"/>
              <w:bidi w:val="0"/>
              <w:spacing w:before="0" w:after="283"/>
              <w:jc w:val="left"/>
              <w:rPr/>
            </w:pPr>
            <w:r>
              <w:rPr/>
              <w:t>JASPER THERAPEUTICS, INC.</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By:</w:t>
            </w:r>
          </w:p>
        </w:tc>
        <w:tc>
          <w:tcPr>
            <w:tcW w:w="42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Name:</w:t>
            </w:r>
          </w:p>
        </w:tc>
        <w:tc>
          <w:tcPr>
            <w:tcW w:w="4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Title:</w:t>
            </w:r>
          </w:p>
        </w:tc>
        <w:tc>
          <w:tcPr>
            <w:tcW w:w="4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34" w:type="dxa"/>
            <w:gridSpan w:val="2"/>
            <w:tcBorders/>
            <w:vAlign w:val="center"/>
          </w:tcPr>
          <w:p>
            <w:pPr>
              <w:pStyle w:val="TableContents"/>
              <w:bidi w:val="0"/>
              <w:spacing w:before="0" w:after="283"/>
              <w:jc w:val="left"/>
              <w:rPr>
                <w:caps/>
              </w:rPr>
            </w:pPr>
            <w:r>
              <w:rPr>
                <w:caps/>
              </w:rPr>
              <w:t>Continental Stock Transfer &amp; Trust Company</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By:</w:t>
            </w:r>
          </w:p>
        </w:tc>
        <w:tc>
          <w:tcPr>
            <w:tcW w:w="42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 xml:space="preserve">Name: </w:t>
            </w:r>
          </w:p>
        </w:tc>
        <w:tc>
          <w:tcPr>
            <w:tcW w:w="4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 xml:space="preserve">Title: </w:t>
            </w:r>
          </w:p>
        </w:tc>
        <w:tc>
          <w:tcPr>
            <w:tcW w:w="4257"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Contingent Value Rights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center"/>
        <w:rPr>
          <w:b/>
        </w:rPr>
      </w:pPr>
      <w:r>
        <w:rPr>
          <w:b/>
        </w:rPr>
        <w:t>EXHIBIT 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POST-CLOSING DIRECTORS AND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Sub Board Designees – Parent</w:t>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28" w:type="dxa"/>
          <w:right w:w="0" w:type="dxa"/>
        </w:tblCellMar>
      </w:tblPr>
      <w:tblGrid>
        <w:gridCol w:w="2255"/>
      </w:tblGrid>
      <w:tr>
        <w:trPr/>
        <w:tc>
          <w:tcPr>
            <w:tcW w:w="2255" w:type="dxa"/>
            <w:tcBorders>
              <w:bottom w:val="single" w:sz="12" w:space="0" w:color="000000"/>
            </w:tcBorders>
            <w:vAlign w:val="center"/>
          </w:tcPr>
          <w:p>
            <w:pPr>
              <w:pStyle w:val="TableContents"/>
              <w:bidi w:val="0"/>
              <w:spacing w:before="0" w:after="283"/>
              <w:jc w:val="left"/>
              <w:rPr>
                <w:b/>
                <w:sz w:val="20"/>
              </w:rPr>
            </w:pPr>
            <w:r>
              <w:rPr>
                <w:b/>
                <w:sz w:val="20"/>
              </w:rPr>
              <w:t>Name</w:t>
            </w:r>
          </w:p>
        </w:tc>
      </w:tr>
      <w:tr>
        <w:trPr/>
        <w:tc>
          <w:tcPr>
            <w:tcW w:w="225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Jeet Mahal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Wiggans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Judith Shizuru, M.D., Ph.D.</w:t>
            </w:r>
          </w:p>
        </w:tc>
      </w:tr>
      <w:tr>
        <w:trPr/>
        <w:tc>
          <w:tcPr>
            <w:tcW w:w="2255" w:type="dxa"/>
            <w:tcBorders/>
            <w:tcMar>
              <w:bottom w:w="0" w:type="dxa"/>
            </w:tcMar>
            <w:vAlign w:val="center"/>
          </w:tcPr>
          <w:p>
            <w:pPr>
              <w:pStyle w:val="TableContents"/>
              <w:bidi w:val="0"/>
              <w:spacing w:before="0" w:after="283"/>
              <w:jc w:val="left"/>
              <w:rPr>
                <w:sz w:val="20"/>
              </w:rPr>
            </w:pPr>
            <w:r>
              <w:rPr>
                <w:sz w:val="20"/>
              </w:rPr>
              <w:t>Kurt von Emster</w:t>
            </w:r>
          </w:p>
        </w:tc>
      </w:tr>
      <w:tr>
        <w:trPr/>
        <w:tc>
          <w:tcPr>
            <w:tcW w:w="2255" w:type="dxa"/>
            <w:tcBorders/>
            <w:tcMar>
              <w:bottom w:w="0" w:type="dxa"/>
            </w:tcMar>
            <w:vAlign w:val="center"/>
          </w:tcPr>
          <w:p>
            <w:pPr>
              <w:pStyle w:val="TableContents"/>
              <w:bidi w:val="0"/>
              <w:spacing w:before="0" w:after="283"/>
              <w:jc w:val="left"/>
              <w:rPr>
                <w:sz w:val="20"/>
              </w:rPr>
            </w:pPr>
            <w:r>
              <w:rPr>
                <w:sz w:val="20"/>
              </w:rPr>
              <w:t>Svetlana Lucas, Ph.D.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Board Designee – Company</w:t>
      </w:r>
    </w:p>
    <w:p>
      <w:pPr>
        <w:pStyle w:val="TextBody"/>
        <w:bidi w:val="0"/>
        <w:spacing w:before="0" w:after="0"/>
        <w:ind w:left="0" w:right="0" w:hanging="0"/>
        <w:jc w:val="left"/>
        <w:rPr>
          <w:caps w:val="false"/>
          <w:smallCaps w:val="false"/>
        </w:rPr>
      </w:pPr>
      <w:r>
        <w:rPr>
          <w:caps w:val="false"/>
          <w:smallCaps w:val="false"/>
        </w:rPr>
        <w:t> </w:t>
      </w:r>
    </w:p>
    <w:tbl>
      <w:tblPr>
        <w:tblW w:w="1415" w:type="dxa"/>
        <w:jc w:val="left"/>
        <w:tblInd w:w="0" w:type="dxa"/>
        <w:tblLayout w:type="fixed"/>
        <w:tblCellMar>
          <w:top w:w="0" w:type="dxa"/>
          <w:left w:w="0" w:type="dxa"/>
          <w:bottom w:w="28" w:type="dxa"/>
          <w:right w:w="0" w:type="dxa"/>
        </w:tblCellMar>
      </w:tblPr>
      <w:tblGrid>
        <w:gridCol w:w="1415"/>
      </w:tblGrid>
      <w:tr>
        <w:trPr/>
        <w:tc>
          <w:tcPr>
            <w:tcW w:w="1415" w:type="dxa"/>
            <w:tcBorders>
              <w:bottom w:val="single" w:sz="12" w:space="0" w:color="000000"/>
            </w:tcBorders>
            <w:vAlign w:val="center"/>
          </w:tcPr>
          <w:p>
            <w:pPr>
              <w:pStyle w:val="TableContents"/>
              <w:bidi w:val="0"/>
              <w:spacing w:before="0" w:after="283"/>
              <w:jc w:val="left"/>
              <w:rPr>
                <w:b/>
                <w:sz w:val="20"/>
              </w:rPr>
            </w:pPr>
            <w:r>
              <w:rPr>
                <w:b/>
                <w:sz w:val="20"/>
              </w:rPr>
              <w:t>Name</w:t>
            </w:r>
          </w:p>
        </w:tc>
      </w:tr>
      <w:tr>
        <w:trPr/>
        <w:tc>
          <w:tcPr>
            <w:tcW w:w="141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Crutcher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Sub Board Designee – Company</w:t>
      </w:r>
    </w:p>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28" w:type="dxa"/>
          <w:right w:w="0" w:type="dxa"/>
        </w:tblCellMar>
      </w:tblPr>
      <w:tblGrid>
        <w:gridCol w:w="1370"/>
      </w:tblGrid>
      <w:tr>
        <w:trPr/>
        <w:tc>
          <w:tcPr>
            <w:tcW w:w="1370" w:type="dxa"/>
            <w:tcBorders>
              <w:bottom w:val="single" w:sz="12" w:space="0" w:color="000000"/>
            </w:tcBorders>
            <w:vAlign w:val="center"/>
          </w:tcPr>
          <w:p>
            <w:pPr>
              <w:pStyle w:val="TableContents"/>
              <w:bidi w:val="0"/>
              <w:spacing w:before="0" w:after="283"/>
              <w:jc w:val="left"/>
              <w:rPr>
                <w:b/>
                <w:sz w:val="20"/>
              </w:rPr>
            </w:pPr>
            <w:r>
              <w:rPr>
                <w:b/>
                <w:sz w:val="20"/>
              </w:rPr>
              <w:t>Name</w:t>
            </w:r>
          </w:p>
        </w:tc>
      </w:tr>
      <w:tr>
        <w:trPr/>
        <w:tc>
          <w:tcPr>
            <w:tcW w:w="137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Crutcher</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Board Observer Designees</w:t>
      </w:r>
    </w:p>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pPr>
            <w:r>
              <w:rPr/>
              <w:t> </w:t>
            </w:r>
          </w:p>
        </w:tc>
      </w:tr>
      <w:tr>
        <w:trPr/>
        <w:tc>
          <w:tcPr>
            <w:tcW w:w="180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Name</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Nora E. Brennan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Wenchao Song, Ph.D.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Officers</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28" w:type="dxa"/>
          <w:right w:w="0" w:type="dxa"/>
        </w:tblCellMar>
      </w:tblPr>
      <w:tblGrid>
        <w:gridCol w:w="2060"/>
        <w:gridCol w:w="60"/>
        <w:gridCol w:w="5075"/>
      </w:tblGrid>
      <w:tr>
        <w:trPr/>
        <w:tc>
          <w:tcPr>
            <w:tcW w:w="206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5075" w:type="dxa"/>
            <w:tcBorders>
              <w:bottom w:val="single" w:sz="12" w:space="0" w:color="000000"/>
            </w:tcBorders>
            <w:vAlign w:val="center"/>
          </w:tcPr>
          <w:p>
            <w:pPr>
              <w:pStyle w:val="TableContents"/>
              <w:bidi w:val="0"/>
              <w:spacing w:before="0" w:after="283"/>
              <w:jc w:val="center"/>
              <w:rPr>
                <w:b/>
                <w:sz w:val="20"/>
              </w:rPr>
            </w:pPr>
            <w:r>
              <w:rPr>
                <w:b/>
                <w:sz w:val="20"/>
              </w:rPr>
              <w:t>Title</w:t>
            </w:r>
          </w:p>
        </w:tc>
      </w:tr>
      <w:tr>
        <w:trPr/>
        <w:tc>
          <w:tcPr>
            <w:tcW w:w="2060" w:type="dxa"/>
            <w:tcBorders/>
            <w:tcMar>
              <w:bottom w:w="0" w:type="dxa"/>
            </w:tcMar>
            <w:vAlign w:val="center"/>
          </w:tcPr>
          <w:p>
            <w:pPr>
              <w:pStyle w:val="TableContents"/>
              <w:bidi w:val="0"/>
              <w:spacing w:before="0" w:after="283"/>
              <w:jc w:val="left"/>
              <w:rPr>
                <w:sz w:val="20"/>
              </w:rPr>
            </w:pPr>
            <w:r>
              <w:rPr>
                <w:sz w:val="20"/>
              </w:rPr>
              <w:t>Jeet Mahal</w:t>
            </w:r>
          </w:p>
        </w:tc>
        <w:tc>
          <w:tcPr>
            <w:tcW w:w="60" w:type="dxa"/>
            <w:tcBorders/>
            <w:tcMar>
              <w:bottom w:w="0" w:type="dxa"/>
            </w:tcMar>
            <w:vAlign w:val="center"/>
          </w:tcPr>
          <w:p>
            <w:pPr>
              <w:pStyle w:val="TableContents"/>
              <w:bidi w:val="0"/>
              <w:spacing w:before="0" w:after="283"/>
              <w:jc w:val="left"/>
              <w:rPr/>
            </w:pPr>
            <w:r>
              <w:rPr/>
              <w:t> </w:t>
            </w:r>
          </w:p>
        </w:tc>
        <w:tc>
          <w:tcPr>
            <w:tcW w:w="5075" w:type="dxa"/>
            <w:tcBorders/>
            <w:tcMar>
              <w:bottom w:w="0" w:type="dxa"/>
            </w:tcMar>
            <w:vAlign w:val="center"/>
          </w:tcPr>
          <w:p>
            <w:pPr>
              <w:pStyle w:val="TableContents"/>
              <w:bidi w:val="0"/>
              <w:spacing w:before="0" w:after="283"/>
              <w:jc w:val="center"/>
              <w:rPr>
                <w:sz w:val="20"/>
              </w:rPr>
            </w:pPr>
            <w:r>
              <w:rPr>
                <w:sz w:val="20"/>
              </w:rPr>
              <w:t>Chief Executive Officer</w:t>
            </w:r>
          </w:p>
        </w:tc>
      </w:tr>
      <w:tr>
        <w:trPr/>
        <w:tc>
          <w:tcPr>
            <w:tcW w:w="2060" w:type="dxa"/>
            <w:tcBorders/>
            <w:tcMar>
              <w:bottom w:w="0" w:type="dxa"/>
            </w:tcMar>
            <w:vAlign w:val="center"/>
          </w:tcPr>
          <w:p>
            <w:pPr>
              <w:pStyle w:val="TableContents"/>
              <w:bidi w:val="0"/>
              <w:spacing w:before="0" w:after="283"/>
              <w:jc w:val="left"/>
              <w:rPr>
                <w:sz w:val="20"/>
              </w:rPr>
            </w:pPr>
            <w:r>
              <w:rPr>
                <w:sz w:val="20"/>
              </w:rPr>
              <w:t>Herb Cross</w:t>
            </w:r>
          </w:p>
        </w:tc>
        <w:tc>
          <w:tcPr>
            <w:tcW w:w="60" w:type="dxa"/>
            <w:tcBorders/>
            <w:tcMar>
              <w:bottom w:w="0" w:type="dxa"/>
            </w:tcMar>
            <w:vAlign w:val="center"/>
          </w:tcPr>
          <w:p>
            <w:pPr>
              <w:pStyle w:val="TableContents"/>
              <w:bidi w:val="0"/>
              <w:spacing w:before="0" w:after="283"/>
              <w:jc w:val="left"/>
              <w:rPr/>
            </w:pPr>
            <w:r>
              <w:rPr/>
              <w:t> </w:t>
            </w:r>
          </w:p>
        </w:tc>
        <w:tc>
          <w:tcPr>
            <w:tcW w:w="5075" w:type="dxa"/>
            <w:tcBorders/>
            <w:tcMar>
              <w:bottom w:w="0" w:type="dxa"/>
            </w:tcMar>
            <w:vAlign w:val="center"/>
          </w:tcPr>
          <w:p>
            <w:pPr>
              <w:pStyle w:val="TableContents"/>
              <w:bidi w:val="0"/>
              <w:spacing w:before="0" w:after="283"/>
              <w:jc w:val="center"/>
              <w:rPr>
                <w:sz w:val="20"/>
              </w:rPr>
            </w:pPr>
            <w:r>
              <w:rPr>
                <w:sz w:val="20"/>
              </w:rPr>
              <w:t>Chief Financial Officer</w:t>
            </w:r>
          </w:p>
        </w:tc>
      </w:tr>
      <w:tr>
        <w:trPr/>
        <w:tc>
          <w:tcPr>
            <w:tcW w:w="2060" w:type="dxa"/>
            <w:tcBorders/>
            <w:tcMar>
              <w:bottom w:w="0" w:type="dxa"/>
            </w:tcMar>
            <w:vAlign w:val="center"/>
          </w:tcPr>
          <w:p>
            <w:pPr>
              <w:pStyle w:val="TableContents"/>
              <w:bidi w:val="0"/>
              <w:spacing w:before="0" w:after="283"/>
              <w:jc w:val="left"/>
              <w:rPr>
                <w:sz w:val="20"/>
              </w:rPr>
            </w:pPr>
            <w:r>
              <w:rPr>
                <w:sz w:val="20"/>
              </w:rPr>
              <w:t>Greg Keenan, M.D.</w:t>
            </w:r>
          </w:p>
        </w:tc>
        <w:tc>
          <w:tcPr>
            <w:tcW w:w="60" w:type="dxa"/>
            <w:tcBorders/>
            <w:tcMar>
              <w:bottom w:w="0" w:type="dxa"/>
            </w:tcMar>
            <w:vAlign w:val="center"/>
          </w:tcPr>
          <w:p>
            <w:pPr>
              <w:pStyle w:val="TableContents"/>
              <w:bidi w:val="0"/>
              <w:spacing w:before="0" w:after="283"/>
              <w:jc w:val="left"/>
              <w:rPr/>
            </w:pPr>
            <w:r>
              <w:rPr/>
              <w:t> </w:t>
            </w:r>
          </w:p>
        </w:tc>
        <w:tc>
          <w:tcPr>
            <w:tcW w:w="5075" w:type="dxa"/>
            <w:tcBorders/>
            <w:tcMar>
              <w:bottom w:w="0" w:type="dxa"/>
            </w:tcMar>
            <w:vAlign w:val="center"/>
          </w:tcPr>
          <w:p>
            <w:pPr>
              <w:pStyle w:val="TableContents"/>
              <w:bidi w:val="0"/>
              <w:spacing w:before="0" w:after="283"/>
              <w:jc w:val="center"/>
              <w:rPr>
                <w:sz w:val="20"/>
              </w:rPr>
            </w:pPr>
            <w:r>
              <w:rPr>
                <w:sz w:val="20"/>
              </w:rPr>
              <w:t>Chief Medical Officer</w:t>
            </w:r>
          </w:p>
        </w:tc>
      </w:tr>
      <w:tr>
        <w:trPr/>
        <w:tc>
          <w:tcPr>
            <w:tcW w:w="2060" w:type="dxa"/>
            <w:tcBorders/>
            <w:tcMar>
              <w:bottom w:w="0" w:type="dxa"/>
            </w:tcMar>
            <w:vAlign w:val="center"/>
          </w:tcPr>
          <w:p>
            <w:pPr>
              <w:pStyle w:val="TableContents"/>
              <w:bidi w:val="0"/>
              <w:spacing w:before="0" w:after="283"/>
              <w:jc w:val="left"/>
              <w:rPr>
                <w:sz w:val="20"/>
              </w:rPr>
            </w:pPr>
            <w:r>
              <w:rPr>
                <w:sz w:val="20"/>
              </w:rPr>
              <w:t>Matthew E. Ros</w:t>
            </w:r>
          </w:p>
        </w:tc>
        <w:tc>
          <w:tcPr>
            <w:tcW w:w="60" w:type="dxa"/>
            <w:tcBorders/>
            <w:tcMar>
              <w:bottom w:w="0" w:type="dxa"/>
            </w:tcMar>
            <w:vAlign w:val="center"/>
          </w:tcPr>
          <w:p>
            <w:pPr>
              <w:pStyle w:val="TableContents"/>
              <w:bidi w:val="0"/>
              <w:spacing w:before="0" w:after="283"/>
              <w:jc w:val="left"/>
              <w:rPr/>
            </w:pPr>
            <w:r>
              <w:rPr/>
              <w:t> </w:t>
            </w:r>
          </w:p>
        </w:tc>
        <w:tc>
          <w:tcPr>
            <w:tcW w:w="5075" w:type="dxa"/>
            <w:tcBorders/>
            <w:tcMar>
              <w:bottom w:w="0" w:type="dxa"/>
            </w:tcMar>
            <w:vAlign w:val="center"/>
          </w:tcPr>
          <w:p>
            <w:pPr>
              <w:pStyle w:val="TableContents"/>
              <w:bidi w:val="0"/>
              <w:spacing w:before="0" w:after="283"/>
              <w:jc w:val="center"/>
              <w:rPr>
                <w:sz w:val="20"/>
              </w:rPr>
            </w:pPr>
            <w:r>
              <w:rPr>
                <w:sz w:val="20"/>
              </w:rPr>
              <w:t>Chief Operating Officer</w:t>
            </w:r>
          </w:p>
        </w:tc>
      </w:tr>
      <w:tr>
        <w:trPr/>
        <w:tc>
          <w:tcPr>
            <w:tcW w:w="2060" w:type="dxa"/>
            <w:tcBorders/>
            <w:tcMar>
              <w:bottom w:w="0" w:type="dxa"/>
            </w:tcMar>
            <w:vAlign w:val="center"/>
          </w:tcPr>
          <w:p>
            <w:pPr>
              <w:pStyle w:val="TableContents"/>
              <w:bidi w:val="0"/>
              <w:spacing w:before="0" w:after="283"/>
              <w:jc w:val="left"/>
              <w:rPr>
                <w:sz w:val="20"/>
              </w:rPr>
            </w:pPr>
            <w:r>
              <w:rPr>
                <w:sz w:val="20"/>
              </w:rPr>
              <w:t>Wenru Song, M.D., Ph.D.</w:t>
            </w:r>
          </w:p>
        </w:tc>
        <w:tc>
          <w:tcPr>
            <w:tcW w:w="60" w:type="dxa"/>
            <w:tcBorders/>
            <w:tcMar>
              <w:bottom w:w="0" w:type="dxa"/>
            </w:tcMar>
            <w:vAlign w:val="center"/>
          </w:tcPr>
          <w:p>
            <w:pPr>
              <w:pStyle w:val="TableContents"/>
              <w:bidi w:val="0"/>
              <w:spacing w:before="0" w:after="283"/>
              <w:jc w:val="left"/>
              <w:rPr/>
            </w:pPr>
            <w:r>
              <w:rPr/>
              <w:t> </w:t>
            </w:r>
          </w:p>
        </w:tc>
        <w:tc>
          <w:tcPr>
            <w:tcW w:w="5075" w:type="dxa"/>
            <w:tcBorders/>
            <w:tcMar>
              <w:bottom w:w="0" w:type="dxa"/>
            </w:tcMar>
            <w:vAlign w:val="center"/>
          </w:tcPr>
          <w:p>
            <w:pPr>
              <w:pStyle w:val="TableContents"/>
              <w:bidi w:val="0"/>
              <w:spacing w:before="0" w:after="283"/>
              <w:jc w:val="center"/>
              <w:rPr>
                <w:sz w:val="20"/>
              </w:rPr>
            </w:pPr>
            <w:r>
              <w:rPr>
                <w:sz w:val="20"/>
              </w:rPr>
              <w:t>Executive Vice President; Head of 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PLAN OF MERGER </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75"/>
        <w:gridCol w:w="3830"/>
        <w:gridCol w:w="75"/>
      </w:tblGrid>
      <w:tr>
        <w:trPr/>
        <w:tc>
          <w:tcPr>
            <w:tcW w:w="75" w:type="dxa"/>
            <w:tcBorders/>
            <w:vAlign w:val="center"/>
          </w:tcPr>
          <w:p>
            <w:pPr>
              <w:pStyle w:val="TableContents"/>
              <w:bidi w:val="0"/>
              <w:spacing w:before="0" w:after="283"/>
              <w:jc w:val="center"/>
              <w:rPr>
                <w:caps/>
              </w:rPr>
            </w:pPr>
            <w:r>
              <w:rPr>
                <w:caps/>
              </w:rPr>
              <w:t> </w:t>
            </w:r>
          </w:p>
        </w:tc>
        <w:tc>
          <w:tcPr>
            <w:tcW w:w="3830" w:type="dxa"/>
            <w:tcBorders/>
            <w:vAlign w:val="center"/>
          </w:tcPr>
          <w:p>
            <w:pPr>
              <w:pStyle w:val="TableContents"/>
              <w:bidi w:val="0"/>
              <w:spacing w:before="0" w:after="283"/>
              <w:jc w:val="center"/>
              <w:rPr>
                <w:b/>
                <w:caps/>
              </w:rPr>
            </w:pPr>
            <w:r>
              <w:rPr>
                <w:b/>
                <w:caps/>
              </w:rPr>
              <w:t>DATED ____________________2026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(1) Kira Holdco Inc.</w:t>
      </w:r>
    </w:p>
    <w:p>
      <w:pPr>
        <w:pStyle w:val="TextBody"/>
        <w:bidi w:val="0"/>
        <w:spacing w:before="0" w:after="283"/>
        <w:jc w:val="left"/>
        <w:rPr/>
      </w:pPr>
      <w:r>
        <w:rPr/>
        <w:t> </w:t>
      </w:r>
    </w:p>
    <w:p>
      <w:pPr>
        <w:pStyle w:val="TextBody"/>
        <w:bidi w:val="0"/>
        <w:jc w:val="center"/>
        <w:rPr>
          <w:b/>
        </w:rPr>
      </w:pPr>
      <w:r>
        <w:rPr>
          <w:b/>
        </w:rPr>
        <w:t>(2) Kira Pharmaceuticals</w:t>
      </w:r>
    </w:p>
    <w:p>
      <w:pPr>
        <w:pStyle w:val="TextBody"/>
        <w:bidi w:val="0"/>
        <w:spacing w:before="0" w:after="283"/>
        <w:jc w:val="left"/>
        <w:rPr/>
      </w:pPr>
      <w:r>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MERGER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4800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668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 SM/slh/K2972-204173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1390" w:type="dxa"/>
        <w:jc w:val="left"/>
        <w:tblInd w:w="0" w:type="dxa"/>
        <w:tblLayout w:type="fixed"/>
        <w:tblCellMar>
          <w:top w:w="0" w:type="dxa"/>
          <w:left w:w="0" w:type="dxa"/>
          <w:bottom w:w="0" w:type="dxa"/>
          <w:right w:w="0" w:type="dxa"/>
        </w:tblCellMar>
      </w:tblPr>
      <w:tblGrid>
        <w:gridCol w:w="815"/>
        <w:gridCol w:w="57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CLAUSE</w:t>
            </w:r>
          </w:p>
        </w:tc>
        <w:tc>
          <w:tcPr>
            <w:tcW w:w="5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PAGE</w:t>
            </w:r>
          </w:p>
        </w:tc>
      </w:tr>
    </w:tbl>
    <w:p>
      <w:pPr>
        <w:pStyle w:val="TextBody"/>
        <w:bidi w:val="0"/>
        <w:spacing w:before="0" w:after="0"/>
        <w:ind w:left="0" w:right="0" w:hanging="0"/>
        <w:jc w:val="left"/>
        <w:rPr>
          <w:caps/>
        </w:rPr>
      </w:pPr>
      <w:r>
        <w:rPr>
          <w:caps/>
        </w:rPr>
        <w:t> </w:t>
      </w:r>
    </w:p>
    <w:tbl>
      <w:tblPr>
        <w:tblW w:w="3070" w:type="dxa"/>
        <w:jc w:val="left"/>
        <w:tblInd w:w="0" w:type="dxa"/>
        <w:tblLayout w:type="fixed"/>
        <w:tblCellMar>
          <w:top w:w="0" w:type="dxa"/>
          <w:left w:w="0" w:type="dxa"/>
          <w:bottom w:w="0" w:type="dxa"/>
          <w:right w:w="0" w:type="dxa"/>
        </w:tblCellMar>
      </w:tblPr>
      <w:tblGrid>
        <w:gridCol w:w="2735"/>
        <w:gridCol w:w="335"/>
      </w:tblGrid>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Definitions and Interpretation</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H-1</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PLAN OF MERGER</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H-1</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Variation</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H-2</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Termination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H-3</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Counterparts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H-3</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Governing Law</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H-3</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PLAN OF MERGER</w:t>
      </w:r>
      <w:r>
        <w:rPr>
          <w:rFonts w:ascii="Times New Roman;Times;Serif" w:hAnsi="Times New Roman;Times;Serif"/>
          <w:b w:val="false"/>
          <w:i w:val="false"/>
          <w:caps w:val="false"/>
          <w:smallCaps w:val="false"/>
          <w:sz w:val="20"/>
        </w:rPr>
        <w:t xml:space="preserve"> is made on July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left"/>
              <w:rPr/>
            </w:pPr>
            <w:r>
              <w:rPr>
                <w:b/>
              </w:rPr>
              <w:t>Kira Holdco Inc.</w:t>
            </w:r>
            <w:r>
              <w:rPr/>
              <w:t>, a corporation incorporated under the laws of Delaware having its registered office at 251 Little Falls Drive, City of Wilmington, Delaware 19808, County of New Castle (the “</w:t>
            </w:r>
            <w:r>
              <w:rPr>
                <w:rFonts w:ascii="Times New Roman;Times;Serif" w:hAnsi="Times New Roman;Times;Serif"/>
                <w:b/>
              </w:rPr>
              <w:t>Surviving Company</w:t>
            </w:r>
            <w:r>
              <w:rPr/>
              <w:t>”); and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283"/>
              <w:jc w:val="left"/>
              <w:rPr/>
            </w:pPr>
            <w:r>
              <w:rPr>
                <w:rFonts w:ascii="Times New Roman;Times;Serif" w:hAnsi="Times New Roman;Times;Serif"/>
                <w:b/>
              </w:rPr>
              <w:t>Kira Pharmaceuticals</w:t>
            </w:r>
            <w:r>
              <w:rPr/>
              <w:t>, an exempted company incorporated under the laws of the Cayman Islands having its registered office at the offices of Ascentium (Cayman) Limited, P.O. Box 10240, 4</w:t>
            </w:r>
            <w:r>
              <w:rPr>
                <w:position w:val="8"/>
                <w:sz w:val="19"/>
              </w:rPr>
              <w:t>th</w:t>
            </w:r>
            <w:r>
              <w:rPr/>
              <w:t xml:space="preserve"> Floor, Harbour Place, 103 South Church Street, George Town, Grand Cayman KY1-1002, Cayman Islands (the “</w:t>
            </w:r>
            <w:r>
              <w:rPr>
                <w:rFonts w:ascii="Times New Roman;Times;Serif" w:hAnsi="Times New Roman;Times;Serif"/>
                <w:b/>
              </w:rPr>
              <w:t>Merging Company</w:t>
            </w:r>
            <w:r>
              <w:rPr/>
              <w:t>” and together with the Surviving Company, the “</w:t>
            </w:r>
            <w:r>
              <w:rPr>
                <w:rFonts w:ascii="Times New Roman;Times;Serif" w:hAnsi="Times New Roman;Times;Serif"/>
                <w:b/>
              </w:rPr>
              <w:t>Companies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left"/>
              <w:rPr/>
            </w:pPr>
            <w:r>
              <w:rPr/>
              <w:t>The respective boards of directors of the Surviving Company and the Merging Company have approved the merger of the Companies, with the Surviving Company continuing as the surviving company (the “</w:t>
            </w:r>
            <w:r>
              <w:rPr>
                <w:rFonts w:ascii="Times New Roman;Times;Serif" w:hAnsi="Times New Roman;Times;Serif"/>
                <w:b/>
              </w:rPr>
              <w:t>Merger</w:t>
            </w:r>
            <w:r>
              <w:rPr/>
              <w:t>”), upon the terms and subject to the conditions of the merger agreement dated July 16, 2026 between Jasper Therapeutics Inc., the Surviving Company and the Merging Company (the “</w:t>
            </w:r>
            <w:r>
              <w:rPr>
                <w:rFonts w:ascii="Times New Roman;Times;Serif" w:hAnsi="Times New Roman;Times;Serif"/>
                <w:b/>
              </w:rPr>
              <w:t>Merger Agreement</w:t>
            </w:r>
            <w:r>
              <w:rPr/>
              <w:t>”) and this Plan of Merger and pursuant to provisions of Part 16 of the Companies Act (as amended) of the Cayman Islands (the “</w:t>
            </w:r>
            <w:r>
              <w:rPr>
                <w:rFonts w:ascii="Times New Roman;Times;Serif" w:hAnsi="Times New Roman;Times;Serif"/>
                <w:b/>
              </w:rPr>
              <w:t>Companies Act</w:t>
            </w:r>
            <w:r>
              <w:rPr/>
              <w:t>”) and the laws of the State of Delaware, U.S.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left"/>
              <w:rPr/>
            </w:pPr>
            <w:r>
              <w:rPr/>
              <w:t>The members of each of the Surviving Company and the Merging Company have adopted this Plan of Merger on the terms and subject to the conditions set forth herein and otherwise in accordance with the Companies Act.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283"/>
              <w:jc w:val="left"/>
              <w:rPr/>
            </w:pPr>
            <w:r>
              <w:rPr/>
              <w:t>Each of the Surviving Company and the Merging Company wishes to enter into this Plan of Merger pursuant to the provisions of Part 16 of the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AGREED</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283"/>
              <w:jc w:val="left"/>
              <w:rPr/>
            </w:pPr>
            <w:r>
              <w:rPr/>
              <w:t>1.</w:t>
            </w:r>
          </w:p>
        </w:tc>
        <w:tc>
          <w:tcPr>
            <w:tcW w:w="9480" w:type="dxa"/>
            <w:tcBorders/>
            <w:vAlign w:val="center"/>
          </w:tcPr>
          <w:p>
            <w:pPr>
              <w:pStyle w:val="TableContents"/>
              <w:bidi w:val="0"/>
              <w:spacing w:before="0" w:after="283"/>
              <w:jc w:val="left"/>
              <w:rPr/>
            </w:pPr>
            <w:r>
              <w:rPr/>
              <w:t>Definitions and Interpretation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1.1</w:t>
            </w:r>
          </w:p>
        </w:tc>
        <w:tc>
          <w:tcPr>
            <w:tcW w:w="9871" w:type="dxa"/>
            <w:tcBorders/>
            <w:vAlign w:val="center"/>
          </w:tcPr>
          <w:p>
            <w:pPr>
              <w:pStyle w:val="TableContents"/>
              <w:bidi w:val="0"/>
              <w:spacing w:before="0" w:after="283"/>
              <w:jc w:val="left"/>
              <w:rPr/>
            </w:pPr>
            <w:r>
              <w:rPr/>
              <w:t>Terms not otherwise defined in this Plan of Merger shall have the meanings given to them in the Merger Agreement, a copy of which is annexed at Annexure 1 hereto.</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933"/>
        <w:gridCol w:w="9272"/>
      </w:tblGrid>
      <w:tr>
        <w:trPr/>
        <w:tc>
          <w:tcPr>
            <w:tcW w:w="933" w:type="dxa"/>
            <w:tcBorders/>
            <w:vAlign w:val="center"/>
          </w:tcPr>
          <w:p>
            <w:pPr>
              <w:pStyle w:val="TableContents"/>
              <w:bidi w:val="0"/>
              <w:spacing w:before="0" w:after="283"/>
              <w:jc w:val="left"/>
              <w:rPr/>
            </w:pPr>
            <w:r>
              <w:rPr/>
              <w:t>2.</w:t>
            </w:r>
          </w:p>
        </w:tc>
        <w:tc>
          <w:tcPr>
            <w:tcW w:w="9272" w:type="dxa"/>
            <w:tcBorders/>
            <w:vAlign w:val="center"/>
          </w:tcPr>
          <w:p>
            <w:pPr>
              <w:pStyle w:val="TableContents"/>
              <w:bidi w:val="0"/>
              <w:spacing w:before="0" w:after="283"/>
              <w:jc w:val="left"/>
              <w:rPr/>
            </w:pPr>
            <w:r>
              <w:rPr/>
              <w:t>PLAN OF MERGER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3"/>
        <w:gridCol w:w="8652"/>
      </w:tblGrid>
      <w:tr>
        <w:trPr/>
        <w:tc>
          <w:tcPr>
            <w:tcW w:w="1553" w:type="dxa"/>
            <w:tcBorders/>
            <w:vAlign w:val="center"/>
          </w:tcPr>
          <w:p>
            <w:pPr>
              <w:pStyle w:val="TableContents"/>
              <w:bidi w:val="0"/>
              <w:spacing w:before="0" w:after="283"/>
              <w:jc w:val="left"/>
              <w:rPr/>
            </w:pPr>
            <w:r>
              <w:rPr/>
              <w:t>2.1</w:t>
            </w:r>
          </w:p>
        </w:tc>
        <w:tc>
          <w:tcPr>
            <w:tcW w:w="865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Company Details: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left"/>
              <w:rPr/>
            </w:pPr>
            <w:r>
              <w:rPr/>
              <w:t>The constituent companies (as defined in the Companies Act) to this Plan of Merger are the Surviving Company and the Merging Company.</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8"/>
        <w:gridCol w:w="9812"/>
      </w:tblGrid>
      <w:tr>
        <w:trPr/>
        <w:tc>
          <w:tcPr>
            <w:tcW w:w="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(b)</w:t>
            </w:r>
          </w:p>
        </w:tc>
        <w:tc>
          <w:tcPr>
            <w:tcW w:w="9812" w:type="dxa"/>
            <w:tcBorders/>
            <w:vAlign w:val="center"/>
          </w:tcPr>
          <w:p>
            <w:pPr>
              <w:pStyle w:val="TableContents"/>
              <w:bidi w:val="0"/>
              <w:spacing w:before="0" w:after="283"/>
              <w:jc w:val="left"/>
              <w:rPr/>
            </w:pPr>
            <w:r>
              <w:rPr/>
              <w:t>The surviving company (as defined in the Companies Act) is the Surviving Company.</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left"/>
              <w:rPr/>
            </w:pPr>
            <w:r>
              <w:rPr/>
              <w:t>The registered office of the Surviving Company is 251 Little Falls Drive, City of Wilmington, Delaware 19808, County of New Castle. The registered office of the Merging Company is Ascentium (Cayman) Limited, P.O. Box 10240, 4</w:t>
            </w:r>
            <w:r>
              <w:rPr>
                <w:position w:val="8"/>
                <w:sz w:val="19"/>
              </w:rPr>
              <w:t>th</w:t>
            </w:r>
            <w:r>
              <w:rPr/>
              <w:t xml:space="preserve"> Floor, Harbour Place, 103 South Church Street, George Town, Grand Cayman KY1-1002, Cayman Islands.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(d)</w:t>
            </w:r>
          </w:p>
        </w:tc>
        <w:tc>
          <w:tcPr>
            <w:tcW w:w="9911" w:type="dxa"/>
            <w:tcBorders/>
            <w:vAlign w:val="center"/>
          </w:tcPr>
          <w:p>
            <w:pPr>
              <w:pStyle w:val="TableContents"/>
              <w:bidi w:val="0"/>
              <w:spacing w:before="0" w:after="283"/>
              <w:jc w:val="left"/>
              <w:rPr/>
            </w:pPr>
            <w:r>
              <w:rPr/>
              <w:t>Immediately prior to the Effective Date, the authorised share capital of the Surviving Company is US$</w:t>
            </w:r>
            <w:r>
              <w:rPr>
                <w:rFonts w:ascii="Times New Roman;Times;Serif" w:hAnsi="Times New Roman;Times;Serif"/>
                <w:shd w:fill="FFFFFF" w:val="clear"/>
              </w:rPr>
              <w:t>1</w:t>
            </w:r>
            <w:r>
              <w:rPr/>
              <w:t xml:space="preserve"> divided into 100 shares each of nominal or par value US$</w:t>
            </w:r>
            <w:r>
              <w:rPr>
                <w:rFonts w:ascii="Times New Roman;Times;Serif" w:hAnsi="Times New Roman;Times;Serif"/>
                <w:shd w:fill="FFFFFF" w:val="clear"/>
              </w:rPr>
              <w:t>0.01</w:t>
            </w:r>
            <w:r>
              <w:rPr/>
              <w:t xml:space="preserve"> per share.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(e)</w:t>
            </w:r>
          </w:p>
        </w:tc>
        <w:tc>
          <w:tcPr>
            <w:tcW w:w="9941" w:type="dxa"/>
            <w:tcBorders/>
            <w:vAlign w:val="center"/>
          </w:tcPr>
          <w:p>
            <w:pPr>
              <w:pStyle w:val="TableContents"/>
              <w:bidi w:val="0"/>
              <w:spacing w:before="0" w:after="283"/>
              <w:jc w:val="left"/>
              <w:rPr/>
            </w:pPr>
            <w:r>
              <w:rPr/>
              <w:t>Immediately prior to the Effective Date, the authorised share capital of the Merging Company is US$620,000 divided into 50,000,000 voting Ordinary Shares of a par value of US$0.01 each; and 12,000,000 voting Preferred Shares of a par value of US$0.01 each.</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04"/>
        <w:gridCol w:w="8301"/>
      </w:tblGrid>
      <w:tr>
        <w:trPr/>
        <w:tc>
          <w:tcPr>
            <w:tcW w:w="1904" w:type="dxa"/>
            <w:tcBorders/>
            <w:vAlign w:val="center"/>
          </w:tcPr>
          <w:p>
            <w:pPr>
              <w:pStyle w:val="TableContents"/>
              <w:bidi w:val="0"/>
              <w:spacing w:before="0" w:after="283"/>
              <w:jc w:val="left"/>
              <w:rPr/>
            </w:pPr>
            <w:r>
              <w:rPr/>
              <w:t>2.2</w:t>
            </w:r>
          </w:p>
        </w:tc>
        <w:tc>
          <w:tcPr>
            <w:tcW w:w="830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Effective Date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237(15) of the Companies Act, the Merger shall be effective on the date that this Plan of Merger is registered by the Registrar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2"/>
        <w:gridCol w:w="9373"/>
      </w:tblGrid>
      <w:tr>
        <w:trPr/>
        <w:tc>
          <w:tcPr>
            <w:tcW w:w="832" w:type="dxa"/>
            <w:tcBorders/>
            <w:vAlign w:val="center"/>
          </w:tcPr>
          <w:p>
            <w:pPr>
              <w:pStyle w:val="TableContents"/>
              <w:bidi w:val="0"/>
              <w:spacing w:before="0" w:after="283"/>
              <w:jc w:val="left"/>
              <w:rPr/>
            </w:pPr>
            <w:r>
              <w:rPr/>
              <w:t>2.3</w:t>
            </w:r>
          </w:p>
        </w:tc>
        <w:tc>
          <w:tcPr>
            <w:tcW w:w="937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Terms and Conditions; Share Rights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left"/>
              <w:rPr/>
            </w:pPr>
            <w:r>
              <w:rPr/>
              <w:t>The terms and conditions of the Merger, including the manner and basis of converting shares in each constituent company into shares in the Surviving Company or into other property, are set out in the Merger Agreement.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left"/>
              <w:rPr/>
            </w:pPr>
            <w:r>
              <w:rPr/>
              <w:t>The rights and restrictions attaching to the shares in the Surviving Company are set out in the certificate of incorporation and bylaws of the Surviving Company.</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left"/>
              <w:rPr/>
            </w:pPr>
            <w:r>
              <w:rPr/>
              <w:t>From the Effective Date, the certificate of incorporation and bylaws of the Surviving Company shall be the certificate of incorporation and bylaws annexed at Annexure 2 hereto.</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3"/>
        <w:gridCol w:w="9750"/>
      </w:tblGrid>
      <w:tr>
        <w:trPr/>
        <w:tc>
          <w:tcPr>
            <w:tcW w:w="5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(d)</w:t>
            </w:r>
          </w:p>
        </w:tc>
        <w:tc>
          <w:tcPr>
            <w:tcW w:w="9750" w:type="dxa"/>
            <w:tcBorders/>
            <w:vAlign w:val="center"/>
          </w:tcPr>
          <w:p>
            <w:pPr>
              <w:pStyle w:val="TableContents"/>
              <w:bidi w:val="0"/>
              <w:spacing w:before="0" w:after="283"/>
              <w:jc w:val="left"/>
              <w:rPr/>
            </w:pPr>
            <w:r>
              <w:rPr/>
              <w:t>The US tax status and elections of the Surviving Company shall continue.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283"/>
              <w:jc w:val="left"/>
              <w:rPr/>
            </w:pPr>
            <w:r>
              <w:rPr/>
              <w:t>2.4</w:t>
            </w:r>
          </w:p>
        </w:tc>
        <w:tc>
          <w:tcPr>
            <w:tcW w:w="93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Interests in the Merger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86"/>
        <w:gridCol w:w="9766"/>
      </w:tblGrid>
      <w:tr>
        <w:trPr/>
        <w:tc>
          <w:tcPr>
            <w:tcW w:w="5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(a)</w:t>
            </w:r>
          </w:p>
        </w:tc>
        <w:tc>
          <w:tcPr>
            <w:tcW w:w="9766" w:type="dxa"/>
            <w:tcBorders/>
            <w:vAlign w:val="center"/>
          </w:tcPr>
          <w:p>
            <w:pPr>
              <w:pStyle w:val="TableContents"/>
              <w:bidi w:val="0"/>
              <w:spacing w:before="0" w:after="283"/>
              <w:jc w:val="left"/>
              <w:rPr/>
            </w:pPr>
            <w:r>
              <w:rPr/>
              <w:t>The names and addresses of each director of the Surviving Company are:</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left"/>
              <w:rPr/>
            </w:pPr>
            <w:r>
              <w:rPr/>
              <w:t>Jeet Mahal of 251 Little Falls Drive, City of Wilmington, Delaware 19808, County of New Castle; and</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4"/>
        <w:gridCol w:w="9862"/>
      </w:tblGrid>
      <w:tr>
        <w:trPr/>
        <w:tc>
          <w:tcPr>
            <w:tcW w:w="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(ii)</w:t>
            </w:r>
          </w:p>
        </w:tc>
        <w:tc>
          <w:tcPr>
            <w:tcW w:w="9862" w:type="dxa"/>
            <w:tcBorders/>
            <w:vAlign w:val="center"/>
          </w:tcPr>
          <w:p>
            <w:pPr>
              <w:pStyle w:val="TableContents"/>
              <w:bidi w:val="0"/>
              <w:spacing w:before="0" w:after="283"/>
              <w:jc w:val="left"/>
              <w:rPr/>
            </w:pPr>
            <w:r>
              <w:rPr/>
              <w:t>Herb Cross of 251 Little Falls Drive, City of Wilmington, Delaware 19808, County of New Castle.</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left"/>
              <w:rPr/>
            </w:pPr>
            <w:r>
              <w:rPr/>
              <w:t>No director of either of the Companies will be paid any amounts or receive any benefits consequent upon the Merger in their capacities as directors.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2"/>
        <w:gridCol w:w="8673"/>
      </w:tblGrid>
      <w:tr>
        <w:trPr/>
        <w:tc>
          <w:tcPr>
            <w:tcW w:w="1532" w:type="dxa"/>
            <w:tcBorders/>
            <w:vAlign w:val="center"/>
          </w:tcPr>
          <w:p>
            <w:pPr>
              <w:pStyle w:val="TableContents"/>
              <w:bidi w:val="0"/>
              <w:spacing w:before="0" w:after="283"/>
              <w:jc w:val="left"/>
              <w:rPr/>
            </w:pPr>
            <w:r>
              <w:rPr/>
              <w:t>2.5</w:t>
            </w:r>
          </w:p>
        </w:tc>
        <w:tc>
          <w:tcPr>
            <w:tcW w:w="867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Secured Creditors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left"/>
              <w:rPr/>
            </w:pPr>
            <w:r>
              <w:rPr/>
              <w:t>The Surviving Company has granted no fixed or floating security interests that are outstanding as at the date of this Plan of Merger.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left"/>
              <w:rPr/>
            </w:pPr>
            <w:r>
              <w:rPr/>
              <w:t>The Merging Company has granted no fixed or floating security interests that are outstanding as at the date of this Plan of Merger.</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933"/>
        <w:gridCol w:w="8272"/>
      </w:tblGrid>
      <w:tr>
        <w:trPr/>
        <w:tc>
          <w:tcPr>
            <w:tcW w:w="1933" w:type="dxa"/>
            <w:tcBorders/>
            <w:vAlign w:val="center"/>
          </w:tcPr>
          <w:p>
            <w:pPr>
              <w:pStyle w:val="TableContents"/>
              <w:bidi w:val="0"/>
              <w:spacing w:before="0" w:after="283"/>
              <w:jc w:val="left"/>
              <w:rPr/>
            </w:pPr>
            <w:r>
              <w:rPr/>
              <w:t>3.</w:t>
            </w:r>
          </w:p>
        </w:tc>
        <w:tc>
          <w:tcPr>
            <w:tcW w:w="8272" w:type="dxa"/>
            <w:tcBorders/>
            <w:vAlign w:val="center"/>
          </w:tcPr>
          <w:p>
            <w:pPr>
              <w:pStyle w:val="TableContents"/>
              <w:bidi w:val="0"/>
              <w:spacing w:before="0" w:after="283"/>
              <w:jc w:val="left"/>
              <w:rPr/>
            </w:pPr>
            <w:r>
              <w:rPr/>
              <w:t>Variation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3.1</w:t>
            </w:r>
          </w:p>
        </w:tc>
        <w:tc>
          <w:tcPr>
            <w:tcW w:w="9871" w:type="dxa"/>
            <w:tcBorders/>
            <w:vAlign w:val="center"/>
          </w:tcPr>
          <w:p>
            <w:pPr>
              <w:pStyle w:val="TableContents"/>
              <w:bidi w:val="0"/>
              <w:spacing w:before="0" w:after="283"/>
              <w:jc w:val="left"/>
              <w:rPr/>
            </w:pPr>
            <w:r>
              <w:rPr/>
              <w:t>At any time prior to the Effective Date, this Plan of Merger may be amended by the Boards of Directors of both the Surviving Company and the Merging Company to:</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left"/>
              <w:rPr/>
            </w:pPr>
            <w:r>
              <w:rPr/>
              <w:t>change the Effective Date provided that such changed date shall not be a date later than the ninetieth day after the date of registration of this Plan of Merger with the Registrar; and</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H-2</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left"/>
              <w:rPr/>
            </w:pPr>
            <w:r>
              <w:rPr/>
              <w:t>effect any other changes to this Plan of Merger as the Merger Agreement or this Plan of Merger may expressly authorise the Boards of Directors of both the Surviving Company and the Merging Company to effect.</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561"/>
        <w:gridCol w:w="8644"/>
      </w:tblGrid>
      <w:tr>
        <w:trPr/>
        <w:tc>
          <w:tcPr>
            <w:tcW w:w="1561" w:type="dxa"/>
            <w:tcBorders/>
            <w:vAlign w:val="center"/>
          </w:tcPr>
          <w:p>
            <w:pPr>
              <w:pStyle w:val="TableContents"/>
              <w:bidi w:val="0"/>
              <w:spacing w:before="0" w:after="283"/>
              <w:jc w:val="left"/>
              <w:rPr/>
            </w:pPr>
            <w:r>
              <w:rPr/>
              <w:t>4.</w:t>
            </w:r>
          </w:p>
        </w:tc>
        <w:tc>
          <w:tcPr>
            <w:tcW w:w="8644" w:type="dxa"/>
            <w:tcBorders/>
            <w:vAlign w:val="center"/>
          </w:tcPr>
          <w:p>
            <w:pPr>
              <w:pStyle w:val="TableContents"/>
              <w:bidi w:val="0"/>
              <w:spacing w:before="0" w:after="283"/>
              <w:jc w:val="left"/>
              <w:rPr/>
            </w:pPr>
            <w:r>
              <w:rPr/>
              <w:t>Termination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4.1</w:t>
            </w:r>
          </w:p>
        </w:tc>
        <w:tc>
          <w:tcPr>
            <w:tcW w:w="9871" w:type="dxa"/>
            <w:tcBorders/>
            <w:vAlign w:val="center"/>
          </w:tcPr>
          <w:p>
            <w:pPr>
              <w:pStyle w:val="TableContents"/>
              <w:bidi w:val="0"/>
              <w:spacing w:before="0" w:after="283"/>
              <w:jc w:val="left"/>
              <w:rPr/>
            </w:pPr>
            <w:r>
              <w:rPr/>
              <w:t>At any time prior to the Effective Date, this Plan of Merger may be terminated by the Boards of Directors of both the Surviving Company and the Merging Company in accordance with the terms of the Merger Agreement.</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497"/>
        <w:gridCol w:w="8708"/>
      </w:tblGrid>
      <w:tr>
        <w:trPr/>
        <w:tc>
          <w:tcPr>
            <w:tcW w:w="1497" w:type="dxa"/>
            <w:tcBorders/>
            <w:vAlign w:val="center"/>
          </w:tcPr>
          <w:p>
            <w:pPr>
              <w:pStyle w:val="TableContents"/>
              <w:bidi w:val="0"/>
              <w:spacing w:before="0" w:after="283"/>
              <w:jc w:val="left"/>
              <w:rPr/>
            </w:pPr>
            <w:r>
              <w:rPr/>
              <w:t>5.</w:t>
            </w:r>
          </w:p>
        </w:tc>
        <w:tc>
          <w:tcPr>
            <w:tcW w:w="8708" w:type="dxa"/>
            <w:tcBorders/>
            <w:vAlign w:val="center"/>
          </w:tcPr>
          <w:p>
            <w:pPr>
              <w:pStyle w:val="TableContents"/>
              <w:bidi w:val="0"/>
              <w:spacing w:before="0" w:after="283"/>
              <w:jc w:val="left"/>
              <w:rPr/>
            </w:pPr>
            <w:r>
              <w:rPr/>
              <w:t>Counterparts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5.1</w:t>
            </w:r>
          </w:p>
        </w:tc>
        <w:tc>
          <w:tcPr>
            <w:tcW w:w="9871" w:type="dxa"/>
            <w:tcBorders/>
            <w:vAlign w:val="center"/>
          </w:tcPr>
          <w:p>
            <w:pPr>
              <w:pStyle w:val="TableContents"/>
              <w:bidi w:val="0"/>
              <w:spacing w:before="0" w:after="283"/>
              <w:jc w:val="left"/>
              <w:rPr/>
            </w:pPr>
            <w:r>
              <w:rPr/>
              <w:t>This Plan of Merger may be executed in any number of counterparts, all of which taken together shall constitute one and the same instrument. Any party may enter into this Plan of Merger by executing any such counterpart.</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243"/>
        <w:gridCol w:w="8962"/>
      </w:tblGrid>
      <w:tr>
        <w:trPr/>
        <w:tc>
          <w:tcPr>
            <w:tcW w:w="1243" w:type="dxa"/>
            <w:tcBorders/>
            <w:vAlign w:val="center"/>
          </w:tcPr>
          <w:p>
            <w:pPr>
              <w:pStyle w:val="TableContents"/>
              <w:bidi w:val="0"/>
              <w:spacing w:before="0" w:after="283"/>
              <w:jc w:val="left"/>
              <w:rPr/>
            </w:pPr>
            <w:r>
              <w:rPr/>
              <w:t>6.</w:t>
            </w:r>
          </w:p>
        </w:tc>
        <w:tc>
          <w:tcPr>
            <w:tcW w:w="8962" w:type="dxa"/>
            <w:tcBorders/>
            <w:vAlign w:val="center"/>
          </w:tcPr>
          <w:p>
            <w:pPr>
              <w:pStyle w:val="TableContents"/>
              <w:bidi w:val="0"/>
              <w:spacing w:before="0" w:after="283"/>
              <w:jc w:val="left"/>
              <w:rPr/>
            </w:pPr>
            <w:r>
              <w:rPr/>
              <w:t>Governing Law</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6.1</w:t>
            </w:r>
          </w:p>
        </w:tc>
        <w:tc>
          <w:tcPr>
            <w:tcW w:w="9871" w:type="dxa"/>
            <w:tcBorders/>
            <w:vAlign w:val="center"/>
          </w:tcPr>
          <w:p>
            <w:pPr>
              <w:pStyle w:val="TableContents"/>
              <w:bidi w:val="0"/>
              <w:spacing w:before="0" w:after="283"/>
              <w:jc w:val="left"/>
              <w:rPr/>
            </w:pPr>
            <w:r>
              <w:rPr/>
              <w:t>This Plan of Merger and the rights and obligations of the parties shall be governed by and construed in accordance with the laws of the Cayman Islands.</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H-3</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 WITNESS</w:t>
      </w:r>
      <w:r>
        <w:rPr>
          <w:rFonts w:ascii="Times New Roman;Times;Serif" w:hAnsi="Times New Roman;Times;Serif"/>
          <w:b w:val="false"/>
          <w:i w:val="false"/>
          <w:caps w:val="false"/>
          <w:smallCaps w:val="false"/>
          <w:sz w:val="20"/>
        </w:rPr>
        <w:t xml:space="preserve"> whereof this Plan of Merger has been entered into by the parties on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7724" w:type="dxa"/>
        <w:jc w:val="left"/>
        <w:tblInd w:w="0" w:type="dxa"/>
        <w:tblLayout w:type="fixed"/>
        <w:tblCellMar>
          <w:top w:w="0" w:type="dxa"/>
          <w:left w:w="0" w:type="dxa"/>
          <w:bottom w:w="0" w:type="dxa"/>
          <w:right w:w="0" w:type="dxa"/>
        </w:tblCellMar>
      </w:tblPr>
      <w:tblGrid>
        <w:gridCol w:w="5030"/>
        <w:gridCol w:w="95"/>
        <w:gridCol w:w="1402"/>
        <w:gridCol w:w="1197"/>
      </w:tblGrid>
      <w:tr>
        <w:trPr/>
        <w:tc>
          <w:tcPr>
            <w:tcW w:w="50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SIGNED</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KIRA PHARMACEUTICALS:</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259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Duly Authorised Signatory</w:t>
            </w:r>
          </w:p>
        </w:tc>
      </w:tr>
      <w:tr>
        <w:trPr/>
        <w:tc>
          <w:tcPr>
            <w:tcW w:w="50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Name: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Title: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259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Duly Authorised Signatory</w:t>
            </w:r>
          </w:p>
        </w:tc>
      </w:tr>
      <w:tr>
        <w:trPr/>
        <w:tc>
          <w:tcPr>
            <w:tcW w:w="503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Name: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Title: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39" w:type="dxa"/>
        <w:jc w:val="left"/>
        <w:tblInd w:w="0" w:type="dxa"/>
        <w:tblLayout w:type="fixed"/>
        <w:tblCellMar>
          <w:top w:w="0" w:type="dxa"/>
          <w:left w:w="0" w:type="dxa"/>
          <w:bottom w:w="0" w:type="dxa"/>
          <w:right w:w="0" w:type="dxa"/>
        </w:tblCellMar>
      </w:tblPr>
      <w:tblGrid>
        <w:gridCol w:w="5345"/>
        <w:gridCol w:w="95"/>
        <w:gridCol w:w="1402"/>
        <w:gridCol w:w="1197"/>
      </w:tblGrid>
      <w:tr>
        <w:trPr/>
        <w:tc>
          <w:tcPr>
            <w:tcW w:w="5345" w:type="dxa"/>
            <w:tcBorders/>
            <w:vAlign w:val="center"/>
          </w:tcPr>
          <w:p>
            <w:pPr>
              <w:pStyle w:val="TableContents"/>
              <w:bidi w:val="0"/>
              <w:spacing w:before="0" w:after="283"/>
              <w:jc w:val="left"/>
              <w:rPr/>
            </w:pPr>
            <w:r>
              <w:rPr>
                <w:rFonts w:ascii="Times New Roman;Times;Serif" w:hAnsi="Times New Roman;Times;Serif"/>
                <w:b/>
                <w:caps/>
              </w:rPr>
              <w:t>SIGNED</w:t>
            </w:r>
            <w:r>
              <w:rPr/>
              <w:t xml:space="preserve"> for and on behalf of </w:t>
            </w:r>
            <w:r>
              <w:rPr>
                <w:b/>
              </w:rPr>
              <w:t>KIRA HOLDCO INC.</w:t>
            </w:r>
            <w:r>
              <w:rPr/>
              <w:t>:</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259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Duly Authorised Signatory</w:t>
            </w:r>
          </w:p>
        </w:tc>
      </w:tr>
      <w:tr>
        <w:trPr/>
        <w:tc>
          <w:tcPr>
            <w:tcW w:w="53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Name: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Title: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259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2599" w:type="dxa"/>
            <w:gridSpan w:val="2"/>
            <w:tcBorders/>
            <w:vAlign w:val="center"/>
          </w:tcPr>
          <w:p>
            <w:pPr>
              <w:pStyle w:val="TableContents"/>
              <w:bidi w:val="0"/>
              <w:spacing w:before="0" w:after="283"/>
              <w:jc w:val="left"/>
              <w:rPr/>
            </w:pPr>
            <w:r>
              <w:rPr/>
              <w:t>Duly Authorised Signatory</w:t>
            </w:r>
          </w:p>
        </w:tc>
      </w:tr>
      <w:tr>
        <w:trPr/>
        <w:tc>
          <w:tcPr>
            <w:tcW w:w="534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Name: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Title:</w:t>
            </w:r>
          </w:p>
        </w:tc>
        <w:tc>
          <w:tcPr>
            <w:tcW w:w="1197"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Annexure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Merger Agreement</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Annexure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incorporation and bylaws of Surviving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pPr>
      <w:r>
        <w:rPr/>
        <w:t> </w:t>
      </w:r>
    </w:p>
    <w:p>
      <w:pPr>
        <w:pStyle w:val="TextBody"/>
        <w:bidi w:val="0"/>
        <w:jc w:val="right"/>
        <w:rPr>
          <w:b/>
        </w:rPr>
      </w:pPr>
      <w:bookmarkStart w:id="28" w:name="ea029822901ex3-1.htm"/>
      <w:bookmarkStart w:id="29" w:name="ksea029822901ex31"/>
      <w:bookmarkEnd w:id="28"/>
      <w:bookmarkEnd w:id="29"/>
      <w:r>
        <w:rPr>
          <w:b/>
        </w:rPr>
        <w:t>Exhibit 3.1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 OF PREFERENCES,</w:t>
        <w:br/>
        <w:t>RIGHTS AND LIMITATIONS</w:t>
        <w:br/>
        <w:t>OF</w:t>
        <w:br/>
        <w:t>NON-VOTING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w:t>
        <w:br/>
        <w:t>General Corporation Law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DOES HEREBY CERTIFY, on behalf of Jasper Therapeutics,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that the following resolution was duly adopted by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in accordance with the provisions of Section 151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at a meeting duly called and held on July 16, 2026, which resolution provides for the creation of a series of the Corporation’s Preferred Stock, par value $0.0001 per share, which is designated as “Non-Voting Convertible Preferred Stock,” with the preferences, rights and limitations set forth therein relating to dividends, conversion, redemption, dissolution and distribution of assets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Second Amended and Restated Certificate of Incorporation of the 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provides for a class of its authorized stock known as undesignated preferred stock, consisting of 10,000,000 shares, $0.0001 par value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issuable from time to time in one or more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pursuant to authority conferred upon the Board of Directors by the Certificate of Incorporation, (i) a new series of Preferred Stock of the Corporation be, and hereby is authorized by the Board of Directors, (ii) the Board of Directors hereby creates, authorizes and provides for the issuance of 9,906,591 shares of “Non-Voting Convertible Preferred Stock” pursuant to the terms of (a) the Agreement and Plan of Merger, dated as of July 16, 2026, by and among the Corporation, Kira Holdco Inc., a Delaware corporation and wholly owned subsidiary of the Corporation, and Kira Pharmaceuticals, a Cayman Islands exempted company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and (b) the Securities Purchase Agreement, dated as of July 16, 2026, by and among the Corporation and the investors identified therein,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NON-VOTING CONVERTIBLE PREFERRED STOCK</w:t>
      </w:r>
    </w:p>
    <w:p>
      <w:pPr>
        <w:pStyle w:val="TextBody"/>
        <w:bidi w:val="0"/>
        <w:spacing w:before="0" w:after="0"/>
        <w:ind w:left="0" w:right="0" w:hanging="0"/>
        <w:jc w:val="left"/>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20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735" w:type="dxa"/>
            <w:tcBorders/>
            <w:vAlign w:val="center"/>
          </w:tcPr>
          <w:p>
            <w:pPr>
              <w:pStyle w:val="TableContents"/>
              <w:bidi w:val="0"/>
              <w:spacing w:before="0" w:after="283"/>
              <w:jc w:val="both"/>
              <w:rPr/>
            </w:pPr>
            <w:r>
              <w:rPr>
                <w:u w:val="single"/>
              </w:rPr>
              <w:t>Definitions</w:t>
            </w:r>
            <w:r>
              <w:rPr/>
              <w:t>. For the purposes hereof, the following terms shall have the following meanings: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6.5.4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collectively, Voting Common Stock and Non-Voting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Ratio</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xml:space="preserve">” shall have the respective meanings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means, collectively, the shares of Voting Common Stock issuable upon conversion of the shares of Non-Voting Preferred Stock in accordance with the terms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DWAC Delivery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Fair Value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holder of shares of Non-Voting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Liquidation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Non-Voting Common Stock</w:t>
      </w:r>
      <w:r>
        <w:rPr>
          <w:rFonts w:ascii="Times New Roman;Times;Serif" w:hAnsi="Times New Roman;Times;Serif"/>
          <w:b w:val="false"/>
          <w:i w:val="false"/>
          <w:caps w:val="false"/>
          <w:smallCaps w:val="false"/>
          <w:sz w:val="20"/>
        </w:rPr>
        <w:t>” means the Corporation’s non-voting common stock, par value $0.0001 per share, and stock of any other class of securities into which such securities may hereafter be reclassified or 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Non-Voting Preferred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Voting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Voting Common Stock</w:t>
      </w:r>
      <w:r>
        <w:rPr>
          <w:rFonts w:ascii="Times New Roman;Times;Serif" w:hAnsi="Times New Roman;Times;Serif"/>
          <w:b w:val="false"/>
          <w:i w:val="false"/>
          <w:caps w:val="false"/>
          <w:smallCaps w:val="false"/>
          <w:sz w:val="20"/>
        </w:rPr>
        <w:t>” means the Corporation’s voting common stock, par value $0.0001 per share, and stock of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Designation, Amount and Par Value</w:t>
      </w:r>
      <w:r>
        <w:rPr>
          <w:rFonts w:ascii="Times New Roman;Times;Serif" w:hAnsi="Times New Roman;Times;Serif"/>
          <w:b w:val="false"/>
          <w:i w:val="false"/>
          <w:caps w:val="false"/>
          <w:smallCaps w:val="false"/>
          <w:sz w:val="20"/>
        </w:rPr>
        <w:t>. The series of Preferred Stock created hereby shall be designated as the Corporation’s Non-Voting Convertible Preferred Stock (the “</w:t>
      </w:r>
      <w:r>
        <w:rPr>
          <w:rFonts w:ascii="Times New Roman;Times;Serif" w:hAnsi="Times New Roman;Times;Serif"/>
          <w:b/>
          <w:i w:val="false"/>
          <w:caps w:val="false"/>
          <w:smallCaps w:val="false"/>
          <w:sz w:val="20"/>
        </w:rPr>
        <w:t>Non-Voting Preferred Stock</w:t>
      </w:r>
      <w:r>
        <w:rPr>
          <w:rFonts w:ascii="Times New Roman;Times;Serif" w:hAnsi="Times New Roman;Times;Serif"/>
          <w:b w:val="false"/>
          <w:i w:val="false"/>
          <w:caps w:val="false"/>
          <w:smallCaps w:val="false"/>
          <w:sz w:val="20"/>
        </w:rPr>
        <w:t>”) and the number of shares so designated shall be 9,906,591.The shares of Non-Voting Preferred Stock shall initially be issued and maintained in the form of securities held in book-entry form and the DTC or its nominee shall initially be the sole registered holder of the shares of Non-Voting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Holders shall be entitled to receive, and the Corporation shall pay, dividends on shares of the Non-Voting Preferred Stock (on an as-if-converted-to-Voting Common Stock basis, without regard to the Beneficial Ownership Limitation) equal to and in the same form, and in the same manner, as dividends (other than dividends on shares of the Voting Common Stock payable in the form of Voting Common Stock) actually paid on shares of the Voting Common Stock when, as and if such dividends (other than dividends payable in the form of Voting Common Stock) are paid on shares of the Voting Common Stock; provided, however, in no event shall Holders of Non-Voting Preferred Stock be entitled to receive the “rights” distributed pursuant to that certain Contingent Value Rights Agreement dated as of July 16, 2026 by and between the Corporation and Continental Stock Transfer &amp; Trust Company, a New York limited liability trust company, as may be amended from time to time (the “</w:t>
      </w:r>
      <w:r>
        <w:rPr>
          <w:rFonts w:ascii="Times New Roman;Times;Serif" w:hAnsi="Times New Roman;Times;Serif"/>
          <w:b/>
          <w:i w:val="false"/>
          <w:caps w:val="false"/>
          <w:smallCaps w:val="false"/>
          <w:sz w:val="20"/>
        </w:rPr>
        <w:t>CVR Agreement</w:t>
      </w:r>
      <w:r>
        <w:rPr>
          <w:rFonts w:ascii="Times New Roman;Times;Serif" w:hAnsi="Times New Roman;Times;Serif"/>
          <w:b w:val="false"/>
          <w:i w:val="false"/>
          <w:caps w:val="false"/>
          <w:smallCaps w:val="false"/>
          <w:sz w:val="20"/>
        </w:rPr>
        <w:t>”), or any amounts paid under the CVR Agreement. Other than as set forth in the previous sentence, no other dividends shall be paid on shares of Non-Voting Preferred Stock, and the Corporation shall pay no dividends (other than dividends payable in the form of Voting Common Stock) on shares of the Voting Common Stock unless it simultaneously complies with the previous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Except as otherwise provided herein or as otherwise required by the DGCL, the Non-Voting Preferred Stock shall have no voting rights. However, as long as any shares of Non-Voting Preferred Stock are outstanding, the Corporation shall not, without the affirmative vote of the holders of a majority of the then outstanding shares of the Non-Voting Preferred Stock: (i) alter or change adversely the powers, preferences or rights of the Non-Voting Preferred Stock or alter or amend this Certificate of Designation, amend or repeal any provision of, or add any provision to, the Certificate of Incorporation or Third Amended and Restated Bylaws of the Corporation, or file any certificate of amendment or certificate of designations, preferences, limitations and relative rights of any series of Preferred Stock, in each case, if such action would adversely alter or change the preferences, rights, privileges or powers of, or restrictions provided for the benefit of the Non-Voting Preferred Stock relative to other shares of Preferred Stock, regardless of whether any of the foregoing actions shall be by means of amendment to the Certificate of Incorporation or by merger, consolidation or otherwise, (ii) issue further shares of Non-Voting Preferred Stock or increase or decrease (other than by conversion) the number of authorized shares of Non-Voting Preferred Stock, (iii) prior to the Stockholder Approval, consummate either: (A) any Fundamental Transaction or (B) any merger or consolidation of the Corporation with or into another entity or any stock sale to, or other business combination in which the stockholders of the Corporation immediately before such transaction do not hold at least a majority of the voting power of the capital stock of the Corporation immediately after such transaction in which the Corporation issues securities in such transaction that represent or are convertible into securities representing more than a majority of the voting power of the Corporation immediately before such transaction, (iv) prior to the Stockholder Approval, authorize or issue any class or series of stock that has powers, preferences or rights that are senior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to those of the Non-Voting Preferred Stock, (v) amend, waive or modify the Merger Agreement in any manner that would be reasonably likely to prevent, impede or materially delay the Stockholder Approval or the Automatic Conversion (as defined below) or (vi) enter into any agreement with respect to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Any vote required or permitted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may be taken at a meeting of the Holders or, to the extent permitted under the Certificate of Incorporation, through the execution of an action by written consent in lieu of such meeting, provided that the consent is executed by Holders representing a majority of the outstanding shares of Non-Voting Preferred Stock, unless a higher percentage is required by the DGCL, in which case the written consent of the Holders of not less than such higher percentage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Rank; Liquidation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Non-Voting Preferred Stock shall rank on parity with the Common Stock as to distributions of assets upon liquidation, dissolution or winding up of the Corporation, whether voluntarily or involuntarily.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Upon any liquidation, dissolution or winding-up of the Corporation, whether voluntary or involuntary (a “</w:t>
      </w:r>
      <w:r>
        <w:rPr>
          <w:rFonts w:ascii="Times New Roman;Times;Serif" w:hAnsi="Times New Roman;Times;Serif"/>
          <w:b/>
          <w:i w:val="false"/>
          <w:caps w:val="false"/>
          <w:smallCaps w:val="false"/>
          <w:sz w:val="20"/>
        </w:rPr>
        <w:t>Liquidation</w:t>
      </w:r>
      <w:r>
        <w:rPr>
          <w:rFonts w:ascii="Times New Roman;Times;Serif" w:hAnsi="Times New Roman;Times;Serif"/>
          <w:b w:val="false"/>
          <w:i w:val="false"/>
          <w:caps w:val="false"/>
          <w:smallCaps w:val="false"/>
          <w:sz w:val="20"/>
        </w:rPr>
        <w:t xml:space="preserve">”), each Holder shall be entitled to receive out of the assets, whether capital or surplus, of the Corporation the same amount that a holder of Voting Common Stock would receive if the Non-Voting Preferred Stock were fully converted (disregarding for such purpose any Beneficial Ownership Limitation) to Voting Common Stock based on the Conversion Ratio, which amounts shall be paid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payment to all holders of Voting Common Stock, plus an additional amount equal to any dividends declared but unpaid to such shares. If, upon any such Liquidation, the assets of the Corporation shall be insufficient to pay the Holders of shares of the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Automatic Conversion on Stockholder Approval</w:t>
      </w:r>
      <w:r>
        <w:rPr>
          <w:rFonts w:ascii="Times New Roman;Times;Serif" w:hAnsi="Times New Roman;Times;Serif"/>
          <w:b w:val="false"/>
          <w:i w:val="false"/>
          <w:caps w:val="false"/>
          <w:smallCaps w:val="false"/>
          <w:sz w:val="20"/>
        </w:rPr>
        <w:t>. Effective as of 5:00 p.m. Eastern time on the third (3rd) Business Day after the date that the Corporation’s stockholders approve (i) the conversion of the Non-Voting Preferred Stock into shares of Voting Common Stock in accordance with the listing rules of The Nasdaq Stock Market LLC and (ii) an amendment to the Certificate of Incorporation to increase the number of authorized shares of Voting Common Stock by an amount sufficient to permit the conversion of all outstanding Non-Voting Preferred Stock as of the date of such approval (the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each share of Non-Voting Preferred Stock then outstanding shall automatically convert into a number of shares of Voting Common Stock equal to the Conversion Ratio (as defined below), subject to the Beneficial Ownership Limitation (if any) (the “</w:t>
      </w:r>
      <w:r>
        <w:rPr>
          <w:rFonts w:ascii="Times New Roman;Times;Serif" w:hAnsi="Times New Roman;Times;Serif"/>
          <w:b/>
          <w:i w:val="false"/>
          <w:caps w:val="false"/>
          <w:smallCaps w:val="false"/>
          <w:sz w:val="20"/>
        </w:rPr>
        <w:t>Automatic Conversion</w:t>
      </w:r>
      <w:r>
        <w:rPr>
          <w:rFonts w:ascii="Times New Roman;Times;Serif" w:hAnsi="Times New Roman;Times;Serif"/>
          <w:b w:val="false"/>
          <w:i w:val="false"/>
          <w:caps w:val="false"/>
          <w:smallCaps w:val="false"/>
          <w:sz w:val="20"/>
        </w:rPr>
        <w:t>”). The Corporation shall notify each Holder in writing of the occurrence of the Stockholder Approval and the effective date of the Automatic Conversion (which date shall also be deemed a “Conversion Date” for purposes of this Section 6.1) within one (1) Business Day of such Stockholder Approval and shall simultaneously file a Current Report on Form 8-K publicly disclosing the same. The Corporation shall request from each Holder, no less than 30 days prior to the date of the Automatic Conversion, a written notice of such Holder’s beneficial ownership of Voting Common Stock (a “</w:t>
      </w:r>
      <w:r>
        <w:rPr>
          <w:rFonts w:ascii="Times New Roman;Times;Serif" w:hAnsi="Times New Roman;Times;Serif"/>
          <w:b/>
          <w:i w:val="false"/>
          <w:caps w:val="false"/>
          <w:smallCaps w:val="false"/>
          <w:sz w:val="20"/>
        </w:rPr>
        <w:t>Beneficial Ownership Statement</w:t>
      </w:r>
      <w:r>
        <w:rPr>
          <w:rFonts w:ascii="Times New Roman;Times;Serif" w:hAnsi="Times New Roman;Times;Serif"/>
          <w:b w:val="false"/>
          <w:i w:val="false"/>
          <w:caps w:val="false"/>
          <w:smallCaps w:val="false"/>
          <w:sz w:val="20"/>
        </w:rPr>
        <w:t>”). In determining the application of the Beneficial Ownership Limitation solely with respect to the Automatic Conversion, the Corporation shall calculate beneficial ownership for each Holder taking into account the beneficial ownership by such Holder of: (x) the number of shares of Voting Common Stock issuable to such Holder in such Automatic Conversion, plus (y) any additional shares of Voting Common Stock beneficially owned by such Holder as set forth in such Holder’s Beneficial Ownership Statement and assuming the conversion of all shares of Non-Voting Preferred Stock held by all other Holders less the aggregate number of shares of Non-Voting Preferred Stock held by all other Holders that will not convert into shares of Voting Common Stock on account of the application of any Beneficial Ownership Limitation applicable to any such other Holders. If, following a written request from the Corporation, a Holder does not provide a Beneficial Ownership Statement within ten (10) days prior to the date of Stockholder Approval, the Corporation shall presume the Holder’s beneficial ownership of Voting Common Stock (excluding the Conversion Shares) to be zero, provided, however, that if the Corporation believes in good faith that the Automatic Conversion would result in a Holder beneficially owning in excess of 19.9% of the Voting Common Stock, the Corporation shall limit the shares of Converted Stock in such Automatic Conversation such that, following the Automatic Conversion, the Holder does not beneficially own in excess of 19.9%. The shares of Non-Voting Preferred Stock that are converted in the Automatic Conversion are referred to as the “</w:t>
      </w:r>
      <w:r>
        <w:rPr>
          <w:rFonts w:ascii="Times New Roman;Times;Serif" w:hAnsi="Times New Roman;Times;Serif"/>
          <w:b/>
          <w:i w:val="false"/>
          <w:caps w:val="false"/>
          <w:smallCaps w:val="false"/>
          <w:sz w:val="20"/>
        </w:rPr>
        <w:t>Converted Stock</w:t>
      </w:r>
      <w:r>
        <w:rPr>
          <w:rFonts w:ascii="Times New Roman;Times;Serif" w:hAnsi="Times New Roman;Times;Serif"/>
          <w:b w:val="false"/>
          <w:i w:val="false"/>
          <w:caps w:val="false"/>
          <w:smallCaps w:val="false"/>
          <w:sz w:val="20"/>
        </w:rPr>
        <w:t xml:space="preserve">”. For the avoidance of doubt, any shares of Non-Voting Preferred Stock that are not automatically converted pursuant to the Automatic Conversion as a result of a Beneficial Ownership Limitation shall remain outstanding until such shares of Non-Voting Preferred Stock are converted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The Conversion Shares shall be issued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Converted Stock that is registered in book entry form shall be automatically cancelled upon the Automatic Conversion and converted into the corresponding Conversion Shares, which shares shall be issued in book entry form and shall be delivered to the Holders within one Business Day of the effectiveness of the Automatic Conversion without any action on the part of the 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Converted Stock that is issued in certificated form shall be deemed converted into the corresponding Conversion Shares on the date of Automatic Conversion and the Holder’s rights as a holder of such shares of Converted Stock shall cease. The Corporation shall either: (a) in the event that the Holder has so elected in its Beneficial Ownership Statement, deliver, or cause to be delivered, to the Holder a physical certificate or certificates representing the number of Conversion Shares being acquired upon the Automatic Conversion as promptly as practicable on or after Automatic Conversion or (b) otherwise deliver or cause to be delivered to such Holder documentation of the book entry for the number of Conversion Shares being acquired within one Business Day of the effectiveness of the Automatic Conversion. Without delaying the delivery of the Conversion Shares, the Holder shall as soon as practicable following the effectiveness of the Automatic Conversion, tender to the Corporation (or its designated agent) the stock certificate(s) (duly endorsed) representing such certificated Converted Stock.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Notwithstanding the conversion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Conversion at Option of Holder</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xml:space="preserve">, each share of Non-Voting Preferred Stock shall be convertible, at any time and from time to time following the earlier of (i) 5:00 p.m. Eastern time on the third (3rd) Business Day after the date of the Stockholder Approval and (ii) solely for purposes of effecting a cash settlement pursuant to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xml:space="preserve">, the date that is twelve months after the initial issuance of the Non-Voting Preferred Stock, at the option of the Holder thereof, into a number of shares of Voting Common Stock equal to the Conversion Ratio. Holders shall effect conversions and cash settlement requests under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xml:space="preserve"> by providing the Corporation with the form of conversion notice attached hereto as Annex A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duly completed and executed. Provided the Corporation’s transfer agent is participating in the DTC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Times;Serif" w:hAnsi="Times New Roman;Times;Serif"/>
          <w:b/>
          <w:i w:val="false"/>
          <w:caps w:val="false"/>
          <w:smallCaps w:val="false"/>
          <w:sz w:val="20"/>
        </w:rPr>
        <w:t>DWAC Delivery</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or the date on which a conversion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be deemed effective, shall be defined as the date the Corporation (a) delivers, or causes to be delivered, to the converting Holder a physical certificate or certificates representing the number of Conversion Shares being acquired upon the conversion of shares of Non-Voting Preferred Stock, or (b) in the case of a DWAC Delivery (if so requested by the Holder), electronically transfers such Conversion Shares by crediting the account of the Holder’s prime broker with DTC through its DWAC system. The Holder shall not be required to physically surrender any stock certificate to the Corporation until the Holder has converted all of the Non-Voting Preferred Stock represented by such certificate in full without regard to the Beneficial Ownership Limitation, in which case, the Holder shall surrender its stock certificate to the Corporation for cancellation as soon as practicable after the date the final Notice of Conversion is delivered to the Corporation. The calculations set forth in the Notice of Conversion shall control in the absence of manifest or mathematical error.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Conversion Ratio</w:t>
      </w:r>
      <w:r>
        <w:rPr>
          <w:rFonts w:ascii="Times New Roman;Times;Serif" w:hAnsi="Times New Roman;Times;Serif"/>
          <w:b w:val="false"/>
          <w:i w:val="false"/>
          <w:caps w:val="false"/>
          <w:smallCaps w:val="false"/>
          <w:sz w:val="20"/>
        </w:rPr>
        <w:t>” for each share of Non-Voting Preferred Stock shall be 61 shares of Voting Common Stock issuable upon the conversion (the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of each share of Non-Voting Preferred Stock (corresponding to a ratio of 61:1), subject to adjustment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Notwithstanding anything herein to the contrary, the Corporation shall not effect any conversion of the Non-Voting Preferred Stock, and a Holder shall not have the right to convert any portion of the Non-Voting Preferred Stock, to the extent that, after giving effect to an attempted conversion set forth on an applicable Notice of Conversion, such Holder (together with any other Person whose beneficial ownership of Voting Common Stock would be aggregated with the Holder’s for purposes of Section 13(d) or Section 16 of the Exchange Act and the applicable rules and regulations of the Commission, including any “group” of which the Holder is a member (the foregoing,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xml:space="preserve">”)) would beneficially own a number of shares of Voting Common Stock in excess of the Beneficial Ownership Limitation. For purposes of the foregoing sentence, the number of shares of Voting Common Stock beneficially owned by such Holder and its Attribution Parties shall include the number of shares of Voting Common Stock issuable upon conversion of the Non-Voting Preferred Stock subject to the Notice of Conversion or Automatic Conversion, as applicable, with respect to which such determination is being made, but shall exclude the number of shares of Voting Common Stock which are issuable upon (A) conversion of the remaining, unconverted Non-Voting Preferred Stock beneficially owned by such Holder or any of its Attribution Parties, and (B) exercise or conversion of the unexercised or unconverted portion of any other securities of the Corporation beneficially owned by such Holder or any of its Attribution Parties that are subject to and would exceed a limitation on conversion or exercise similar to the limitation contained herein. For purposes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beneficial ownership shall be calculated in accordance with Section 13(d) of the Exchange Act and the applicable rules and regulations of the Commission. In addition, for purposes hereof, “group” has the meaning set forth in Section 13(d) of the Exchange Act and the applicable rules and regulations of the Commission. For purposes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in determining the number of outstanding shares of Voting Common Stock, a Holder may rely on the number of outstanding shares of Voting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Voting Common Stock then outstanding. Upon the written request of a Holder (which may be by email), the Corporation shall, within two (2) Trading Days thereof, confirm in writing to such Holder (which may be via email) the number of shares of Voting Common Stock then outstanding. In any case, the number of outstanding shares of Voting Common Stock shall be determined after giving effect to any actual conversion or exercise of securities of the Corporation, including shares of Non-Voting Preferred Stock, by such Holder or its Attribution Parties since the date as of which such number of outstanding shares of Voting Common Stock was last publicly reported or confirmed to the Holder.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xml:space="preserve">” shall initially be between 4.9% and 19.9% (and the Holder shall have the discretion to set the percentage within this range) of the number of shares of the Voting Common Stock outstanding immediately after giving effect to the issuance of shares of Voting Common Stock pursuant to such Notice of Conversion (to the extent permitted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The Corporation shall be entitled to rely on representations made to it by the Holder in any Notice of Conversion regarding its Beneficial Ownership Limitation. Notwithstanding the foregoing, by written notice to the Corporation, (i) which will not be effective until the sixty-first (61st) day after such written notice is delivered to the Corporation, the Holder may reset the Beneficial Ownership Limitation percentage to a higher percentage, not to exceed 19.9%, to the extent then applicable and (ii) which will be effective immediately after such notice is delivered to the Corporation, the Holder may reset the Beneficial Ownership Limitation percentage to a lower percentage than was in effect for such Holder prior to such written notice. Upon such a change by a Holder of the Beneficial Ownership Limitation, the Beneficial Ownership Limitation may not be further amended by such Holder without first providing the minimum notice required by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Notwithstanding the foregoing, at any time following notice of a Fundamental Transaction, the Holder may waive the Beneficial Ownership Limitation effective the sixty 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Holder delivers written notice to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6.5.1 </w:t>
      </w:r>
      <w:r>
        <w:rPr>
          <w:rFonts w:ascii="Times New Roman;Times;Serif" w:hAnsi="Times New Roman;Times;Serif"/>
          <w:b w:val="false"/>
          <w:i w:val="false"/>
          <w:caps w:val="false"/>
          <w:smallCaps w:val="false"/>
          <w:sz w:val="20"/>
          <w:u w:val="single"/>
        </w:rPr>
        <w:t>Delivery of Certificate or Electronic Issuance</w:t>
      </w:r>
      <w:r>
        <w:rPr>
          <w:rFonts w:ascii="Times New Roman;Times;Serif" w:hAnsi="Times New Roman;Times;Serif"/>
          <w:b w:val="false"/>
          <w:i w:val="false"/>
          <w:caps w:val="false"/>
          <w:smallCaps w:val="false"/>
          <w:sz w:val="20"/>
        </w:rPr>
        <w:t>. Upon a Conversion pursuant to Section 6.2, not later than one (1) Trading Day after the Trading Day that the Notice of Conversion, completed and executed, is sent via email to, and received during regular business hours by, the Corporation, or if the Holder requests the issuance of physical certificate(s), not later than three (3) Trading Days after receipt by the Corporation of the original certificate(s) representing such shares of Non-Voting Preferred Stock being converted, duly endorsed, and the accompanying Notice of Conversion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Corporation shall either: (a) deliver, or cause to be delivered, to the converting Holder a physical certificate or certificates representing the number of Conversion Shares being acquired upon the conversion of shares of Non-Voting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in which event the Corporation shall promptly return to such Holder any original Non-Voting Preferred Stock certificate delivered to the Corporation and such Holder shall promptly return to the Corporation any Voting Common Stock certificates or otherwise direct the return of any shares of Voting Common Stock delivered to the Holder through the DWAC system, representing the shares of Non-Voting Preferred Stock unsuccessfully tendered for conversion to the 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6.5.2 </w:t>
      </w:r>
      <w:r>
        <w:rPr>
          <w:rFonts w:ascii="Times New Roman;Times;Serif" w:hAnsi="Times New Roman;Times;Serif"/>
          <w:b w:val="false"/>
          <w:i w:val="false"/>
          <w:caps w:val="false"/>
          <w:smallCaps w:val="false"/>
          <w:sz w:val="20"/>
          <w:u w:val="single"/>
        </w:rPr>
        <w:t>Obligation Absolute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hereof and subject to Holder’s right to rescind a Notice of Conversion pursuant to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 xml:space="preserve"> above, the Corporation’s obligation to issue and deliver the Conversion Shares upon conversion of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hereof and subject to Holder’s right to rescind a Notice of Conversion pursuant to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 xml:space="preserve"> above, in the event a Holder shall elect to convert any or all of its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Non-Voting Preferred Stock of such Holder shall have been sought and obtained by the Corporation, and the Corporation posts a surety bond for the benefit of such Holder in the amount of 150% of the value of the Conversion Shares into which would be converted the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hereof and subject to Holder’s right to rescind a Notice of Conversion pursuant to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 xml:space="preserve"> above, issue Conversion Shares upon a properly noticed conversion.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6.5.3 </w:t>
      </w:r>
      <w:r>
        <w:rPr>
          <w:rFonts w:ascii="Times New Roman;Times;Serif" w:hAnsi="Times New Roman;Times;Serif"/>
          <w:b w:val="false"/>
          <w:i w:val="false"/>
          <w:caps w:val="false"/>
          <w:smallCaps w:val="false"/>
          <w:sz w:val="20"/>
          <w:u w:val="single"/>
        </w:rPr>
        <w:t>Cash Settlement</w:t>
      </w:r>
      <w:r>
        <w:rPr>
          <w:rFonts w:ascii="Times New Roman;Times;Serif" w:hAnsi="Times New Roman;Times;Serif"/>
          <w:b w:val="false"/>
          <w:i w:val="false"/>
          <w:caps w:val="false"/>
          <w:smallCaps w:val="false"/>
          <w:sz w:val="20"/>
        </w:rPr>
        <w:t xml:space="preserve">. If, at any time after the earlier of (i) Stockholder Approval, and (ii) twelve months after the initial issuance of the Non-Voting Preferred Stock (irrespective of whether the Stockholder Approval has been obtained or not), a Holder delivers to the Corporation a Notice of Conversion and the Corporation fails to deliver to a Holder such certificate or certificates, or electronically deliver (or cause its transfer agent to electronically deliver) such shares in the case of a DWAC Delivery, pursuant to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 xml:space="preserve"> on or prior to the third (3rd) Trading Day after the Share Delivery Date applicable to such Conversion (other than a failure caused by incorrect or incomplete information provided by Holder to the Corporation or due to the Beneficial Ownership Limitation after Stockholder Approval), then, unless the Holder has rescinded the applicable Notice of Conversion pursuant to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 xml:space="preserve"> above, the Corporation shall, at the written request of a Holder, pay, out of funds legally available therefor, an amount of cash by wire transfer of immediately available funds equal to the Fair Value (defined below) of the undelivered shares of Voting Common Stock that would have been issuable upon the conversion of such Holder’s shares of Non-Voting Preferred Stock based on the Conversion Ratio, with such payment to be made within two (2) Business Days from the date of request by the Holder, whereupon the Corporation’s obligations to deliver the Conversion Shares applicable to such Non-Voting Preferred Stock shall be extinguished; provided, however that such request shall be presumed to have been made by such Holder if Stockholder Approval shall not have been obtained prior to the date on which the Notice of Conversion is delivered to the Corporation. For purposes of this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Fair Value</w:t>
      </w:r>
      <w:r>
        <w:rPr>
          <w:rFonts w:ascii="Times New Roman;Times;Serif" w:hAnsi="Times New Roman;Times;Serif"/>
          <w:b w:val="false"/>
          <w:i w:val="false"/>
          <w:caps w:val="false"/>
          <w:smallCaps w:val="false"/>
          <w:sz w:val="20"/>
        </w:rPr>
        <w:t xml:space="preserve">” means the last reported closing stock price of a share of Voting Common Stock on the principal Trading Market on which the Voting Common Stock is listed as of the Trading Day immediately prior to the date on which the Notice of Conversion is delivered to the Corporation. For the avoidance of doubt, the cash settlement provisions set forth in this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xml:space="preserve"> shall be available irrespective of the reason for the Corporation’s failure to timely deliver Conversion Shares (other than a failure caused by incorrect or incomplete information provided by Holder to the Corporation or due to Beneficial Ownership Limitation after Stockholder Approval), including due to the lack of obtaining Stockholder Approval, or due to applicable stock exchange rules, or due to an insufficient number of authorized Voting Common Stock.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6.5.4 </w:t>
      </w:r>
      <w:r>
        <w:rPr>
          <w:rFonts w:ascii="Times New Roman;Times;Serif" w:hAnsi="Times New Roman;Times;Serif"/>
          <w:b w:val="false"/>
          <w:i w:val="false"/>
          <w:caps w:val="false"/>
          <w:smallCaps w:val="false"/>
          <w:sz w:val="20"/>
          <w:u w:val="single"/>
        </w:rPr>
        <w:t>Buy-In on Failure to Timely Deliver Certificates</w:t>
      </w:r>
      <w:r>
        <w:rPr>
          <w:rFonts w:ascii="Times New Roman;Times;Serif" w:hAnsi="Times New Roman;Times;Serif"/>
          <w:b w:val="false"/>
          <w:i w:val="false"/>
          <w:caps w:val="false"/>
          <w:smallCaps w:val="false"/>
          <w:sz w:val="20"/>
        </w:rPr>
        <w:t xml:space="preserve">. If the Corporation fails to deliver to a Holder the applicable certificate or certificates or to effect a DWAC Delivery, as applicable, by the Share Delivery Date pursuant to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 xml:space="preserve"> (other than a failure caused by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Voting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xml:space="preserve">”), then the Corporation shall (A) pay in cash to such Holder (in addition to any other remedies available to or elected by such Holder) the amount by which (x) such Holder’s total purchase price (including any brokerage commissions) for the shares of Voting Common Stock so purchased exceeds (y) the product of (1) the aggregate number of shares of Voting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Non-Voting Preferred Stock equal to the number of shares of Non-Voting Preferred Stock submitted for conversion or deliver to such Holder the number of shares of Voting Common Stock that would have been issued if the Corporation had timely complied with its delivery requirements under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 xml:space="preserve">. For example, if a Holder purchases shares of Voting Common Stock having a total purchase price of $11,000 to cover a Buy-In with respect to an attempted conversion of shares of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Voting Common Stock upon conversion of the shares of Non-Voting Preferred Stock as required pursuant to the terms hereof or the cash settlement remedy set forth in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xml:space="preserve">; provided, however, that the Holder shall not be entitled to both (i) require the reissuance of the shares of Non-Voting Preferred Stock submitted for conversion for which such conversion was not timely honored and (ii) receive the number of shares of Voting Common Stock that would have been issued if the Corporation had timely complied with its delivery requirements under </w:t>
      </w:r>
      <w:r>
        <w:rPr>
          <w:rFonts w:ascii="Times New Roman;Times;Serif" w:hAnsi="Times New Roman;Times;Serif"/>
          <w:b w:val="false"/>
          <w:i w:val="false"/>
          <w:caps w:val="false"/>
          <w:smallCaps w:val="false"/>
          <w:sz w:val="20"/>
          <w:u w:val="single"/>
        </w:rPr>
        <w:t>Section 6.5.1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6.5.5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xml:space="preserve">. The Corporation covenants that at all times following one (1) Business Day after the Stockholder Approval it will reserve and keep available out of its authorized and unissued shares of Voting Common Stock for the sole purpose of issuance upon conversion of the Non-Voting Preferred Stock, subject to receipt of the Stockholder Approval, free from preemptive rights or any other actual contingent purchase rights of Persons other than the Holders of the Non-Voting Preferred Stock, not less than such aggregate number of shares of the Voting Common Stock as shall be issuable (taking into account the adjustments of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upon the conversion of all outstanding shares of Non-Voting Preferred Stock. If at any time the number of authorized but unissued shares of Voting Common Stock shall not be sufficient to effect the conversion of all then outstanding shares of the Non-Voting Preferred Stock, the Corporation will take such corporate action as may, in the opinion of its counsel, be necessary to increase its authorized but unissued shares Voting Common Stock to such number of shares as shall be sufficient for such purpose. The Corporation covenants that all shares of Voting Common Stock that shall be so issuable shall, upon issue, be duly authorized, validly issued, fully paid and non-assessable.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6.5.6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Voting Common Stock shall be issued upon conversion of the Non-Voting Preferred Stock. Any fractional shares of Voting Common Stock that a Holder of Non-Voting Preferred Stock would otherwise be entitled to receive shall be aggregated with all fractional shares of Voting Common Stock issuable to such Holder and, if after such aggregation, fractional shares would be issuable to such Holder upon conversion, the Conversion Ratio shall be adjusted for such Holder to result in the number of shares of Voting Common Stock being issued upon conversion to be the nearest whole number, with all fractions being rounded down. Whether or not fractional shares would be issuable upon such conversion shall be determined on the basis of the total number of shares of Non-Voting Preferred Stock the holder is at the time converting into Voting Common Stock and the aggregate number of shares of Voting Common Stock issuable upon such conversion.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6.5.7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The issuance of certificates for shares of the Voting Common Stock upon conversion of the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6.5.8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Corporation shall be entitled to deduct and withhold any tax that is required to be deducted or withheld under applicable law from any amounts payable hereunder. Any tax so withheld or deducted shall be treated for all purposes as having been paid to the Holder in respect of whom such deduction and withholding was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Status as Stockholder</w:t>
      </w:r>
      <w:r>
        <w:rPr>
          <w:rFonts w:ascii="Times New Roman;Times;Serif" w:hAnsi="Times New Roman;Times;Serif"/>
          <w:b w:val="false"/>
          <w:i w:val="false"/>
          <w:caps w:val="false"/>
          <w:smallCaps w:val="false"/>
          <w:sz w:val="20"/>
        </w:rPr>
        <w:t xml:space="preserve">. Upon each Conversion Date, (i) the shares of Non-Voting Preferred Stock being converted shall be deemed converted into shares of Voting Common Stock and (ii) the Holder’s rights as a holder of such converted shares of Non-Voting Preferred Stock shall cease and terminate, excepting only the right to receive certificates for such shares of Voting Common Stock or cash in accordance with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xml:space="preserve">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Non-Voting Preferred Stock. In no event shall the Non-Voting Preferred Stock convert into shares of Voting Common Stock prior to the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xml:space="preserve">. If the Corporation, at any time while this Non-Voting Preferred Stock is outstanding: (A) pays a stock dividend or otherwise makes a distribution or distributions payable in shares of Voting Common Stock (which, for avoidance of doubt, shall not include any shares of Voting Common Stock issued by the Corporation upon conversion of this Non-Voting Preferred Stock) with respect to the then outstanding shares of Voting Common Stock; (B) subdivides outstanding shares of Voting Common Stock into a larger number of shares; or (C) combines (including by way of a reverse stock split) outstanding shares of Voting Common Stock into a smaller number of shares, then the Conversion Ratio shall be multiplied by a fraction of which the numerator shall be the number of shares of Voting Common Stock (excluding any treasury shares of the Corporation) outstanding immediately after such event and of which the denominator shall be the number of shares of Voting Common Stock outstanding immediately before such event (excluding any treasury shares of the Corporation). Any adjustment made pursuant to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xml:space="preserve">. If, at any time while this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Voting Common Stock not held by the Corporation or such Person is exchanged for or converted into other securities, cash or property, or (D) the Corporation effects any reclassification of the Voting Common Stock or any compulsory share exchange pursuant (other than as a result of a dividend, subdivision or combination covered by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above) to which the Voting Common Stock is effectively converted into or exchanged for other securities, cash or property (in any such case, a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then, upon any subsequent conversion of this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(without regard to any Beneficial Ownership Limitation), the holder of one share of Voting Common Stock (the “</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xml:space="preserve">”). For purposes of any such subsequent conversion, the determination of the Conversion Ratio shall be appropriately adjusted to apply to such Alternate Consideration based on the amount of Alternate Consideration issuable in respect of one share of Voting Common Stock in such Fundamental Transaction, and the Corporation shall adjust the Conversion Ratio in a reasonable manner reflecting the relative value of any different components of the Alternate Consideration. If holders of Voting Common Stock are given any choice as to the securities, cash or property to be received in a Fundamental Transaction, then the Holders shall be given the same choice as to the Alternate Consideration it receives upon any conversion of this Non-Voting Preferred Stock following such Fundamental Transaction. To the extent necessary to effectuate the foregoing provisions, any successor to the Corporation or surviving entity in such Fundamental Transaction shall file a certificate of incorporation, certificate of designations or similar filing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ensuring that this Non-Voting Preferred Stock (or any such replacement security) will be similarly adjusted upon any subsequent transaction analogous to a Fundamental Transaction. The Corporation shall cause to be delivered written notice of any Fundamental Transaction (x) to each Holder that has affirmatively elected in writing to receive material non-public information regarding the Corporation, at least 20 calendar days prior to the date on which such Fundamental Transaction is expected to become effective or close and (y) to any Holder who has not affirmatively elected in writing to receive material non-public information regarding the Corporation, concurrently with the public disclosure of such Fundamental Transaction, in each case, at its last address as it shall appear upon the stock books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made to the nearest cent or the nearest 1/100th of a share, as the case may be. For purposes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 number of shares of Voting Common Stock deemed to be issued and outstanding as of a given date shall be the sum of the number of shares of Voting Common Stock (excluding any treasury shares of the Corporation)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xml:space="preserve">. The shares of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A Holder may transfer such shares of Non-Voting Preferred Stock in whole, or in part,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Non-Voting Preferred Stock may reasonably request in order to carry out the intent and accomplish the purposes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transferee of any shares of Non-Voting Preferred Stock shall be subject to the Beneficial Ownership Limitation applicable to the transferor as of the time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Non-Voting Preferred Stock Register</w:t>
      </w:r>
      <w:r>
        <w:rPr>
          <w:rFonts w:ascii="Times New Roman;Times;Serif" w:hAnsi="Times New Roman;Times;Serif"/>
          <w:b w:val="false"/>
          <w:i w:val="false"/>
          <w:caps w:val="false"/>
          <w:smallCaps w:val="false"/>
          <w:sz w:val="20"/>
        </w:rPr>
        <w:t xml:space="preserve">. The Corporation shall maintain at its principal executive offices (or such other office or agency of the Corporation as it may designate by notice to the Holders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a register for the Non-Voting Preferred Stock, in which the Corporation shall record (i) the name, address, electronic mail address and facsimile number of each holder in whose name the shares of Non-Voting Preferred Stock have been issued and (ii) the name, address, electronic mail address and facsimile number of each transferee of any shares of Non-Voting Preferred Stock. The Corporation may treat the Person in whose name any share of Non-Voting Preferred Stock is registered on the register as the owner and holder thereof for all purposes. The Corporation shall keep the register open and available at all times during business hours for inspection by any holder of Non-Voting Preferred Stock or his, her or its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or permitted by the provisions of this Certificate of Designation to be given to a holder of shares of Non-Voting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Book-Entry; Certificates</w:t>
      </w:r>
      <w:r>
        <w:rPr>
          <w:rFonts w:ascii="Times New Roman;Times;Serif" w:hAnsi="Times New Roman;Times;Serif"/>
          <w:b w:val="false"/>
          <w:i w:val="false"/>
          <w:caps w:val="false"/>
          <w:smallCaps w:val="false"/>
          <w:sz w:val="20"/>
        </w:rPr>
        <w:t>. The Non-Voting Preferred Stock will be issued in book-entry form; provided that, if a Holder requests that such Holder’s shares of Non-Voting Preferred Stock be issued in certificated form, the Corporation will instead issue a stock certificate to such Holder representing such Holder’s shares of Non-Voting Preferred Stock. To the extent that any shares of Non-Voting Preferred Stock are issued in book-entry form, references herein to “certificates” shall instead refer to the book-entry notation relating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Lost or Mutilated Non-Voting Preferred Stock Certificate</w:t>
      </w:r>
      <w:r>
        <w:rPr>
          <w:rFonts w:ascii="Times New Roman;Times;Serif" w:hAnsi="Times New Roman;Times;Serif"/>
          <w:b w:val="false"/>
          <w:i w:val="false"/>
          <w:caps w:val="false"/>
          <w:smallCaps w:val="false"/>
          <w:sz w:val="20"/>
        </w:rPr>
        <w:t>. If a Holder’s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Non-Voting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Status of Converted Non-Voting Preferred Stock</w:t>
      </w:r>
      <w:r>
        <w:rPr>
          <w:rFonts w:ascii="Times New Roman;Times;Serif" w:hAnsi="Times New Roman;Times;Serif"/>
          <w:b w:val="false"/>
          <w:i w:val="false"/>
          <w:caps w:val="false"/>
          <w:smallCaps w:val="false"/>
          <w:sz w:val="20"/>
        </w:rPr>
        <w:t>. If any shares of Non-Voting Preferred Stock shall be converted by the Corporation, such shares shall resume the status of authorized but unissued shares of preferred stock and shall no longer be designated as Non-Voting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Jasper Therapeutics, Inc. has caused this Certificate of Designation of Preferences, Rights and Limitations of Non-Voting Convertible Preferred Stock to be duly executed by its Chief Executive Officer this 16th day of July, 2026.</w:t>
      </w:r>
    </w:p>
    <w:p>
      <w:pPr>
        <w:pStyle w:val="TextBody"/>
        <w:bidi w:val="0"/>
        <w:spacing w:before="0" w:after="0"/>
        <w:ind w:left="0" w:right="0" w:firstLine="72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741"/>
        <w:gridCol w:w="2623"/>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JASPER THERAPEUTICS, INC.</w:t>
            </w:r>
          </w:p>
        </w:tc>
      </w:tr>
      <w:tr>
        <w:trPr/>
        <w:tc>
          <w:tcPr>
            <w:tcW w:w="75"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 </w:t>
            </w:r>
          </w:p>
        </w:tc>
        <w:tc>
          <w:tcPr>
            <w:tcW w:w="2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By:</w:t>
            </w:r>
          </w:p>
        </w:tc>
        <w:tc>
          <w:tcPr>
            <w:tcW w:w="2623" w:type="dxa"/>
            <w:tcBorders>
              <w:bottom w:val="single" w:sz="12" w:space="0" w:color="000000"/>
            </w:tcBorders>
            <w:tcMar>
              <w:bottom w:w="28" w:type="dxa"/>
            </w:tcMar>
            <w:vAlign w:val="center"/>
          </w:tcPr>
          <w:p>
            <w:pPr>
              <w:pStyle w:val="TableContents"/>
              <w:bidi w:val="0"/>
              <w:spacing w:before="0" w:after="283"/>
              <w:jc w:val="left"/>
              <w:rPr/>
            </w:pPr>
            <w:r>
              <w:rPr/>
              <w:t>/s/ Jeet Mahal</w:t>
            </w:r>
          </w:p>
        </w:tc>
      </w:tr>
      <w:tr>
        <w:trPr/>
        <w:tc>
          <w:tcPr>
            <w:tcW w:w="75"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Name:</w:t>
            </w:r>
          </w:p>
        </w:tc>
        <w:tc>
          <w:tcPr>
            <w:tcW w:w="2623" w:type="dxa"/>
            <w:tcBorders/>
            <w:vAlign w:val="center"/>
          </w:tcPr>
          <w:p>
            <w:pPr>
              <w:pStyle w:val="TableContents"/>
              <w:bidi w:val="0"/>
              <w:spacing w:before="0" w:after="283"/>
              <w:jc w:val="left"/>
              <w:rPr/>
            </w:pPr>
            <w:r>
              <w:rPr/>
              <w:t>Jeet Mahal</w:t>
            </w:r>
          </w:p>
        </w:tc>
      </w:tr>
      <w:tr>
        <w:trPr/>
        <w:tc>
          <w:tcPr>
            <w:tcW w:w="75"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Title:</w:t>
            </w:r>
          </w:p>
        </w:tc>
        <w:tc>
          <w:tcPr>
            <w:tcW w:w="2623"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IN ORDER TO CONVERT SHARES OF NON-VOTING CONVERTIBLE PREFERRED STOCK[ OR, IF APPLICABLE, TO ELECT CASH SETTLEMENT OF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irrevocably elects to convert the number of shares of Non-Voting Preferred Stock indicated below, [represented by stock certificate No(s). [●]] [represented in book-entry form], into shares of voting common stock, par value $0.0001 per share (the “</w:t>
      </w:r>
      <w:r>
        <w:rPr>
          <w:rFonts w:ascii="Times New Roman;Times;Serif" w:hAnsi="Times New Roman;Times;Serif"/>
          <w:b/>
          <w:i w:val="false"/>
          <w:caps w:val="false"/>
          <w:smallCaps w:val="false"/>
          <w:sz w:val="20"/>
        </w:rPr>
        <w:t>Voting Common Stock</w:t>
      </w:r>
      <w:r>
        <w:rPr>
          <w:rFonts w:ascii="Times New Roman;Times;Serif" w:hAnsi="Times New Roman;Times;Serif"/>
          <w:b w:val="false"/>
          <w:i w:val="false"/>
          <w:caps w:val="false"/>
          <w:smallCaps w:val="false"/>
          <w:sz w:val="20"/>
        </w:rPr>
        <w:t>”), of Jasper Therapeutics,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xml:space="preserve">”), as of the date written below [(or, if applicable, elects cash settlement of such shares pursuant to </w:t>
      </w:r>
      <w:r>
        <w:rPr>
          <w:rFonts w:ascii="Times New Roman;Times;Serif" w:hAnsi="Times New Roman;Times;Serif"/>
          <w:b w:val="false"/>
          <w:i w:val="false"/>
          <w:caps w:val="false"/>
          <w:smallCaps w:val="false"/>
          <w:sz w:val="20"/>
          <w:u w:val="single"/>
        </w:rPr>
        <w:t>Section 6.5.3</w:t>
      </w:r>
      <w:r>
        <w:rPr>
          <w:rFonts w:ascii="Times New Roman;Times;Serif" w:hAnsi="Times New Roman;Times;Serif"/>
          <w:b w:val="false"/>
          <w:i w:val="false"/>
          <w:caps w:val="false"/>
          <w:smallCaps w:val="false"/>
          <w:sz w:val="20"/>
        </w:rPr>
        <w:t xml:space="preserve"> of the Certificate of Designation)]. If securities are to be issued in the name of (or cash is to be paid to)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Non-Voting Convertible Preferred Stock (the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filed by the Corporation with the Secretary of State of the State of Delaware on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hereof, the number of shares of Voting Common Stock beneficially owned by the undersigned Holder (together with such Holder’s Attribution Parties), including the number of shares of Voting Common Stock issuable upon conversion of the Non-Voting Preferred Stock subject to this Notice of Conversion, but excluding the number of shares of Voting Common Stock which are issuable upon (A) conversion of the remaining, unconverted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of the Certificate of Designation, is does not exceed the Beneficial Ownership Limitation applicable to the undersigned Holder. For purposes hereof, beneficial ownership shall be calculated in accordance with Section 13(d) of the Exchange Act and the applicable rules and regulations of the Commission. In addition, for purposes hereof, “group” has the meaning set forth in Section 13(d) of the Exchange Act and the applicable rules and regulations of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CALCULATIONS:</w:t>
      </w:r>
    </w:p>
    <w:p>
      <w:pPr>
        <w:pStyle w:val="TextBody"/>
        <w:bidi w:val="0"/>
        <w:spacing w:before="0" w:after="0"/>
        <w:ind w:left="0" w:right="0" w:hanging="0"/>
        <w:jc w:val="left"/>
        <w:rPr>
          <w:caps w:val="false"/>
          <w:smallCaps w:val="false"/>
        </w:rPr>
      </w:pPr>
      <w:r>
        <w:rPr>
          <w:caps w:val="false"/>
          <w:smallCaps w:val="false"/>
        </w:rPr>
        <w:t> </w:t>
      </w:r>
    </w:p>
    <w:tbl>
      <w:tblPr>
        <w:tblW w:w="7460" w:type="dxa"/>
        <w:jc w:val="left"/>
        <w:tblInd w:w="0" w:type="dxa"/>
        <w:tblLayout w:type="fixed"/>
        <w:tblCellMar>
          <w:top w:w="0" w:type="dxa"/>
          <w:left w:w="0" w:type="dxa"/>
          <w:bottom w:w="0" w:type="dxa"/>
          <w:right w:w="0" w:type="dxa"/>
        </w:tblCellMar>
      </w:tblPr>
      <w:tblGrid>
        <w:gridCol w:w="7385"/>
        <w:gridCol w:w="75"/>
      </w:tblGrid>
      <w:tr>
        <w:trPr/>
        <w:tc>
          <w:tcPr>
            <w:tcW w:w="73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to Effect Conversion:</w:t>
            </w:r>
          </w:p>
        </w:tc>
        <w:tc>
          <w:tcPr>
            <w:tcW w:w="75"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left"/>
              <w:rPr/>
            </w:pPr>
            <w:r>
              <w:rPr/>
              <w:t>Number of shares of Non-Voting Preferred Stock owned prior to Conversion:</w:t>
            </w:r>
          </w:p>
        </w:tc>
        <w:tc>
          <w:tcPr>
            <w:tcW w:w="7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385" w:type="dxa"/>
            <w:tcBorders/>
            <w:vAlign w:val="center"/>
          </w:tcPr>
          <w:p>
            <w:pPr>
              <w:pStyle w:val="TableContents"/>
              <w:bidi w:val="0"/>
              <w:spacing w:before="0" w:after="283"/>
              <w:jc w:val="left"/>
              <w:rPr/>
            </w:pPr>
            <w:r>
              <w:rPr/>
              <w:t>Number of shares of Non-Voting Preferred Stock to be Converted:</w:t>
            </w:r>
          </w:p>
        </w:tc>
        <w:tc>
          <w:tcPr>
            <w:tcW w:w="7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385" w:type="dxa"/>
            <w:tcBorders/>
            <w:vAlign w:val="center"/>
          </w:tcPr>
          <w:p>
            <w:pPr>
              <w:pStyle w:val="TableContents"/>
              <w:bidi w:val="0"/>
              <w:spacing w:before="0" w:after="283"/>
              <w:jc w:val="left"/>
              <w:rPr/>
            </w:pPr>
            <w:r>
              <w:rPr/>
              <w:t>Number of shares of Voting Common Stock to be Issued:</w:t>
            </w:r>
          </w:p>
        </w:tc>
        <w:tc>
          <w:tcPr>
            <w:tcW w:w="7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385" w:type="dxa"/>
            <w:tcBorders/>
            <w:vAlign w:val="center"/>
          </w:tcPr>
          <w:p>
            <w:pPr>
              <w:pStyle w:val="TableContents"/>
              <w:bidi w:val="0"/>
              <w:spacing w:before="0" w:after="283"/>
              <w:jc w:val="left"/>
              <w:rPr/>
            </w:pPr>
            <w:r>
              <w:rPr/>
              <w:t>Address for delivery of physical certificates:</w:t>
            </w:r>
          </w:p>
        </w:tc>
        <w:tc>
          <w:tcPr>
            <w:tcW w:w="7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DWAC Delivery, please provide the following:</w:t>
      </w:r>
    </w:p>
    <w:p>
      <w:pPr>
        <w:pStyle w:val="TextBody"/>
        <w:bidi w:val="0"/>
        <w:spacing w:before="0" w:after="0"/>
        <w:ind w:left="720" w:right="0" w:hanging="0"/>
        <w:jc w:val="left"/>
        <w:rPr>
          <w:caps w:val="false"/>
          <w:smallCaps w:val="false"/>
        </w:rPr>
      </w:pPr>
      <w:r>
        <w:rPr>
          <w:caps w:val="false"/>
          <w:smallCaps w:val="false"/>
        </w:rPr>
        <w:t> </w:t>
      </w:r>
    </w:p>
    <w:tbl>
      <w:tblPr>
        <w:tblW w:w="1340" w:type="dxa"/>
        <w:jc w:val="left"/>
        <w:tblInd w:w="0" w:type="dxa"/>
        <w:tblLayout w:type="fixed"/>
        <w:tblCellMar>
          <w:top w:w="0" w:type="dxa"/>
          <w:left w:w="0" w:type="dxa"/>
          <w:bottom w:w="0" w:type="dxa"/>
          <w:right w:w="0" w:type="dxa"/>
        </w:tblCellMar>
      </w:tblPr>
      <w:tblGrid>
        <w:gridCol w:w="1205"/>
        <w:gridCol w:w="60"/>
        <w:gridCol w:w="75"/>
      </w:tblGrid>
      <w:tr>
        <w:trPr/>
        <w:tc>
          <w:tcPr>
            <w:tcW w:w="1205" w:type="dxa"/>
            <w:tcBorders/>
            <w:vAlign w:val="center"/>
          </w:tcPr>
          <w:p>
            <w:pPr>
              <w:pStyle w:val="TableContents"/>
              <w:bidi w:val="0"/>
              <w:spacing w:before="0" w:after="283"/>
              <w:jc w:val="left"/>
              <w:rPr/>
            </w:pPr>
            <w:r>
              <w:rPr/>
              <w:t>Broker no:</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Account no:</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64" w:type="dxa"/>
        <w:jc w:val="left"/>
        <w:tblInd w:w="0" w:type="dxa"/>
        <w:tblLayout w:type="fixed"/>
        <w:tblCellMar>
          <w:top w:w="0" w:type="dxa"/>
          <w:left w:w="0" w:type="dxa"/>
          <w:bottom w:w="0" w:type="dxa"/>
          <w:right w:w="0" w:type="dxa"/>
        </w:tblCellMar>
      </w:tblPr>
      <w:tblGrid>
        <w:gridCol w:w="75"/>
        <w:gridCol w:w="1055"/>
        <w:gridCol w:w="134"/>
      </w:tblGrid>
      <w:tr>
        <w:trPr/>
        <w:tc>
          <w:tcPr>
            <w:tcW w:w="75"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pPr>
            <w:r>
              <w:rPr/>
              <w:t>[HOLDER]</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By:</w:t>
            </w:r>
          </w:p>
        </w:tc>
        <w:tc>
          <w:tcPr>
            <w:tcW w:w="13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Name:</w:t>
            </w:r>
          </w:p>
        </w:tc>
        <w:tc>
          <w:tcPr>
            <w:tcW w:w="1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Title:</w:t>
            </w:r>
          </w:p>
        </w:tc>
        <w:tc>
          <w:tcPr>
            <w:tcW w:w="13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29822901ex10-1.htm"/>
      <w:bookmarkStart w:id="31" w:name="ksea029822901ex101"/>
      <w:bookmarkEnd w:id="30"/>
      <w:bookmarkEnd w:id="31"/>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SECURITIES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is dated as of July 16, 2026, by and among </w:t>
      </w:r>
      <w:r>
        <w:rPr>
          <w:rFonts w:ascii="Times New Roman;Times;Serif" w:hAnsi="Times New Roman;Times;Serif"/>
          <w:b/>
          <w:i w:val="false"/>
          <w:caps/>
          <w:sz w:val="20"/>
        </w:rPr>
        <w:t>Jasper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THERAPEUTICS,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and each purchaser identified on </w:t>
      </w: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xml:space="preserve"> hereto (each, including its successors and assigns, a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RECITALS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and each Purchaser is executing and delivering this Agreement in reliance upon the exemption from securities registration afforded by Section 4(a)(2)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Rule 506 of Regulation D (“</w:t>
      </w:r>
      <w:r>
        <w:rPr>
          <w:rFonts w:ascii="Times New Roman;Times;Serif" w:hAnsi="Times New Roman;Times;Serif"/>
          <w:b/>
          <w:i/>
          <w:caps w:val="false"/>
          <w:smallCaps w:val="false"/>
          <w:sz w:val="20"/>
        </w:rPr>
        <w:t>Regulation D</w:t>
      </w:r>
      <w:r>
        <w:rPr>
          <w:rFonts w:ascii="Times New Roman;Times;Serif" w:hAnsi="Times New Roman;Times;Serif"/>
          <w:b w:val="false"/>
          <w:i w:val="false"/>
          <w:caps w:val="false"/>
          <w:smallCaps w:val="false"/>
          <w:sz w:val="20"/>
        </w:rPr>
        <w:t>”) as promulgated by the United States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Each Purchaser, severally and not jointly, wishes to purchase, and the Company wishes to issue and sell, upon the terms and conditions stated in this Agreement, an aggregate of 4,655,951 shares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of Non-Voting Convertible Preferred Stock, par value $0.0001 per share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xml:space="preserve">”), of the Company, having the designation, preferences, conversion or other rights, voting powers, restrictions, limitations as to dividends, qualifications and terms and conditions as specified in the Certificate of Designation, in the form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Certificate of Designation</w:t>
      </w:r>
      <w:r>
        <w:rPr>
          <w:rFonts w:ascii="Times New Roman;Times;Serif" w:hAnsi="Times New Roman;Times;Serif"/>
          <w:b w:val="false"/>
          <w:i w:val="false"/>
          <w:caps w:val="false"/>
          <w:smallCaps w:val="false"/>
          <w:sz w:val="20"/>
        </w:rPr>
        <w:t>”), which will be convertible into shares (the “</w:t>
      </w:r>
      <w:r>
        <w:rPr>
          <w:rFonts w:ascii="Times New Roman;Times;Serif" w:hAnsi="Times New Roman;Times;Serif"/>
          <w:b/>
          <w:i/>
          <w:caps w:val="false"/>
          <w:smallCaps w:val="false"/>
          <w:sz w:val="20"/>
        </w:rPr>
        <w:t>Conversion Shares</w:t>
      </w:r>
      <w:r>
        <w:rPr>
          <w:rFonts w:ascii="Times New Roman;Times;Serif" w:hAnsi="Times New Roman;Times;Serif"/>
          <w:b w:val="false"/>
          <w:i w:val="false"/>
          <w:caps w:val="false"/>
          <w:smallCaps w:val="false"/>
          <w:sz w:val="20"/>
        </w:rPr>
        <w:t>”) of the Company’s voting common stock, par value $0.0001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in accordance with the terms set forth in the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Pursuant to the terms and conditions of the Certificate of Designation, the conversion of the Preferred Stock shall be subject to receipt of the Requisite Stockholder Approval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has engaged Piper Sandler &amp; Co. LLC (“</w:t>
      </w:r>
      <w:r>
        <w:rPr>
          <w:rFonts w:ascii="Times New Roman;Times;Serif" w:hAnsi="Times New Roman;Times;Serif"/>
          <w:b/>
          <w:i/>
          <w:caps w:val="false"/>
          <w:smallCaps w:val="false"/>
          <w:sz w:val="20"/>
        </w:rPr>
        <w:t>Piper Sandler</w:t>
      </w:r>
      <w:r>
        <w:rPr>
          <w:rFonts w:ascii="Times New Roman;Times;Serif" w:hAnsi="Times New Roman;Times;Serif"/>
          <w:b w:val="false"/>
          <w:i w:val="false"/>
          <w:caps w:val="false"/>
          <w:smallCaps w:val="false"/>
          <w:sz w:val="20"/>
        </w:rPr>
        <w:t>”) as its exclusive lead placement agent and LifeSci Capital LLC as its exclusive co-placement agent (together, the “</w:t>
      </w:r>
      <w:r>
        <w:rPr>
          <w:rFonts w:ascii="Times New Roman;Times;Serif" w:hAnsi="Times New Roman;Times;Serif"/>
          <w:b/>
          <w:i/>
          <w:caps w:val="false"/>
          <w:smallCaps w:val="false"/>
          <w:sz w:val="20"/>
        </w:rPr>
        <w:t>Placement Agents</w:t>
      </w:r>
      <w:r>
        <w:rPr>
          <w:rFonts w:ascii="Times New Roman;Times;Serif" w:hAnsi="Times New Roman;Times;Serif"/>
          <w:b w:val="false"/>
          <w:i w:val="false"/>
          <w:caps w:val="false"/>
          <w:smallCaps w:val="false"/>
          <w:sz w:val="20"/>
        </w:rPr>
        <w:t>”) for the offering of the Securities on a “best efforts”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Prior to the Closing: (i) the parties hereto shall execute and deliver a Registration Rights Agreement, in the form attached hereto as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pursuant to which, among other things, the Company will agree to provide certain registration rights with respect to the Conversion Shares under the Securities Act and the rules and regulations promulgated thereunder and applicable state securities laws and (ii) the Company shall file with the Delaware Secretary of State the Certificate of Designation, duly executed by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Concurrent with the execution and delivery of this Agreement, the Company is entering into an Agreement and Plan of Merger by and among the Company, Kira Merger Sub Inc., a Delaware corporation (the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Kira Pharmaceuticals, a Cayman Islands exempted company (“</w:t>
      </w:r>
      <w:r>
        <w:rPr>
          <w:rFonts w:ascii="Times New Roman;Times;Serif" w:hAnsi="Times New Roman;Times;Serif"/>
          <w:b/>
          <w:i/>
          <w:caps w:val="false"/>
          <w:smallCaps w:val="false"/>
          <w:sz w:val="20"/>
        </w:rPr>
        <w:t>Kira</w:t>
      </w:r>
      <w:r>
        <w:rPr>
          <w:rFonts w:ascii="Times New Roman;Times;Serif" w:hAnsi="Times New Roman;Times;Serif"/>
          <w:b w:val="false"/>
          <w:i w:val="false"/>
          <w:caps w:val="false"/>
          <w:smallCaps w:val="false"/>
          <w:sz w:val="20"/>
        </w:rPr>
        <w:t xml:space="preserve">”), in the form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pursuant to which the Company and Kira intend to effect a merger whereby Kira will merge with and into Merger Sub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with Merger Sub being the surviving entity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IN CONSIDERATION</w:t>
      </w:r>
      <w:r>
        <w:rPr>
          <w:rFonts w:ascii="Times New Roman;Times;Serif" w:hAnsi="Times New Roman;Times;Serif"/>
          <w:b w:val="false"/>
          <w:i w:val="false"/>
          <w:caps w:val="false"/>
          <w:smallCaps w:val="false"/>
          <w:sz w:val="20"/>
        </w:rPr>
        <w:t xml:space="preserve"> of the mutual covenants contained in this Agreement, and for other good and valuable consideration, the receipt and adequacy of which are hereby acknowledged, the Company and each Purchaser, severally and not jointly, hereby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DEFINITIONS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shall have the meanings indicated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Acquiring Person</w:t>
      </w:r>
      <w:r>
        <w:rPr>
          <w:rFonts w:ascii="Times New Roman;Times;Serif" w:hAnsi="Times New Roman;Times;Serif"/>
          <w:b w:val="false"/>
          <w:i w:val="false"/>
          <w:caps w:val="false"/>
          <w:smallCaps w:val="false"/>
          <w:sz w:val="20"/>
        </w:rPr>
        <w:t>” has the meaning set forth in Section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suit, inquiry, notice of violation, proceeding (including any partial proceeding such as a deposition) or investigation pending or, to the Company’s Knowledge, threatened against the Company or any of its properties or any officer, director or employee of the Company acting in his or her capacity as an officer, director or employee before or by any federal, state, county, local or foreign court, arbitrator, governmental or administrative agency, regulatory authority, stock market, stock exchange or trading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except Saturday,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Certificate of Designation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has the meaning set forth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means the Trading Day when all of the Transaction Documents have been executed and delivered by the applicable parties thereto, and all of the conditions set forth in Sections 2.1, 2.2, 5.1 and 5.2 hereof are satisfied or waived, as the case may be, or such other date as the parties may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Company Counsel</w:t>
      </w:r>
      <w:r>
        <w:rPr>
          <w:rFonts w:ascii="Times New Roman;Times;Serif" w:hAnsi="Times New Roman;Times;Serif"/>
          <w:b w:val="false"/>
          <w:i w:val="false"/>
          <w:caps w:val="false"/>
          <w:smallCaps w:val="false"/>
          <w:sz w:val="20"/>
        </w:rPr>
        <w:t>” means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Company Deliverables</w:t>
      </w:r>
      <w:r>
        <w:rPr>
          <w:rFonts w:ascii="Times New Roman;Times;Serif" w:hAnsi="Times New Roman;Times;Serif"/>
          <w:b w:val="false"/>
          <w:i w:val="false"/>
          <w:caps w:val="false"/>
          <w:smallCaps w:val="false"/>
          <w:sz w:val="20"/>
        </w:rPr>
        <w:t>” has the meaning set forth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Company’s Knowledge</w:t>
      </w:r>
      <w:r>
        <w:rPr>
          <w:rFonts w:ascii="Times New Roman;Times;Serif" w:hAnsi="Times New Roman;Times;Serif"/>
          <w:b w:val="false"/>
          <w:i w:val="false"/>
          <w:caps w:val="false"/>
          <w:smallCaps w:val="false"/>
          <w:sz w:val="20"/>
        </w:rPr>
        <w:t>” means with respect to any statement made to the Company’s Knowledge, that the statement is based upon the actual knowledge of the executive officers or directors of the Company having responsibility for the matter or matters that are the subject of the statement.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Effect</w:t>
      </w:r>
      <w:r>
        <w:rPr>
          <w:rFonts w:ascii="Times New Roman;Times;Serif" w:hAnsi="Times New Roman;Times;Serif"/>
          <w:b w:val="false"/>
          <w:i w:val="false"/>
          <w:caps w:val="false"/>
          <w:smallCaps w:val="false"/>
          <w:sz w:val="20"/>
        </w:rPr>
        <w:t>” means any effect, change, event, circumstance or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Encumbrance</w:t>
      </w:r>
      <w:r>
        <w:rPr>
          <w:rFonts w:ascii="Times New Roman;Times;Serif" w:hAnsi="Times New Roman;Times;Serif"/>
          <w:b w:val="false"/>
          <w:i w:val="false"/>
          <w:caps w:val="false"/>
          <w:smallCaps w:val="false"/>
          <w:sz w:val="20"/>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has the meaning set forth in Section 3.1(cc).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has the meaning set forth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Irrevocable Transfer Agent Instructions</w:t>
      </w:r>
      <w:r>
        <w:rPr>
          <w:rFonts w:ascii="Times New Roman;Times;Serif" w:hAnsi="Times New Roman;Times;Serif"/>
          <w:b w:val="false"/>
          <w:i w:val="false"/>
          <w:caps w:val="false"/>
          <w:smallCaps w:val="false"/>
          <w:sz w:val="20"/>
        </w:rPr>
        <w:t xml:space="preserve">” means, with respect to the Company, the Irrevocable Transfer Agent Instructions, in substantially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executed by the Company and delivered to and acknowledged in writing by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Material Adverse Change</w:t>
      </w:r>
      <w:r>
        <w:rPr>
          <w:rFonts w:ascii="Times New Roman;Times;Serif" w:hAnsi="Times New Roman;Times;Serif"/>
          <w:b w:val="false"/>
          <w:i w:val="false"/>
          <w:caps w:val="false"/>
          <w:smallCaps w:val="false"/>
          <w:sz w:val="20"/>
        </w:rPr>
        <w:t>” has the meaning set forth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means any Effect, individually or together with any other Effect, that has had, has, or would reasonably be expected to have a material adverse effect on the business, financial condition, assets, liabilities or results of operations of the Company or its subsidiaries,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Effects arising or resulting from the following shall not be taken into account in determining whether there has been a Material Adverse Effect: (a) the announcement or disclosure of the sale of the Securities or other transactions contemplated by this Agreement, (b) the taking of any action, or the failure to take any action, by the Company that is required to comply with the terms of this Agreement, (c)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the generally accepted accounting principles in the United States (“</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or applicable Law or the interpretation thereof, (e) general economic or political conditions or conditions generally affecting the industries in which the Company and its subsidiaries operate or (f) any change in the cash position of the Company and its subsidiaries which results from operations in the ordinary course of business; except in each case with respect to clauses (c), (d) and (e), to the extent disproportionately affecting the Company and its subsidiaries, taken as a whole, relative to other similarly situated companies in the industries in which the Company and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Material Contract</w:t>
      </w:r>
      <w:r>
        <w:rPr>
          <w:rFonts w:ascii="Times New Roman;Times;Serif" w:hAnsi="Times New Roman;Times;Serif"/>
          <w:b w:val="false"/>
          <w:i w:val="false"/>
          <w:caps w:val="false"/>
          <w:smallCaps w:val="false"/>
          <w:sz w:val="20"/>
        </w:rPr>
        <w:t>” means any Contract to which the Company is a party or by which it is bound which is material to the business of the Company that have been filed as an exhibit to the SEC Reports pursuant to Item 601(b)(10)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New York Courts</w:t>
      </w:r>
      <w:r>
        <w:rPr>
          <w:rFonts w:ascii="Times New Roman;Times;Serif" w:hAnsi="Times New Roman;Times;Serif"/>
          <w:b w:val="false"/>
          <w:i w:val="false"/>
          <w:caps w:val="false"/>
          <w:smallCaps w:val="false"/>
          <w:sz w:val="20"/>
        </w:rPr>
        <w:t>” means the state and federal courts sitting in the City of New York, Borough of Manhattan.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Outside Date</w:t>
      </w:r>
      <w:r>
        <w:rPr>
          <w:rFonts w:ascii="Times New Roman;Times;Serif" w:hAnsi="Times New Roman;Times;Serif"/>
          <w:b w:val="false"/>
          <w:i w:val="false"/>
          <w:caps w:val="false"/>
          <w:smallCaps w:val="false"/>
          <w:sz w:val="20"/>
        </w:rPr>
        <w:t>” means the thirtieth day following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Permitted Encumbrances</w:t>
      </w:r>
      <w:r>
        <w:rPr>
          <w:rFonts w:ascii="Times New Roman;Times;Serif" w:hAnsi="Times New Roman;Times;Serif"/>
          <w:b w:val="false"/>
          <w:i w:val="false"/>
          <w:caps w:val="false"/>
          <w:smallCaps w:val="false"/>
          <w:sz w:val="20"/>
        </w:rPr>
        <w:t>” means: (a) any Encumbrance for current taxes not yet due and payable or for taxes that are being contested in good faith and, in each case, for which adequate reserves have been made on the Unaudited Interim Balance Sheet in accordance with GAAP; (b) minor liens that have arisen in the ordinary course of business and that do not (in any case or in the aggregate) materially detract from the value of the assets or properties subject thereto or materially impair the operations of the Company or any of its Subsidiaries;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any of its Subsidiaries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Placement Agents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Press Release</w:t>
      </w:r>
      <w:r>
        <w:rPr>
          <w:rFonts w:ascii="Times New Roman;Times;Serif" w:hAnsi="Times New Roman;Times;Serif"/>
          <w:b w:val="false"/>
          <w:i w:val="false"/>
          <w:caps w:val="false"/>
          <w:smallCaps w:val="false"/>
          <w:sz w:val="20"/>
        </w:rPr>
        <w:t>” has the meaning set forth in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Principal Trading Market</w:t>
      </w:r>
      <w:r>
        <w:rPr>
          <w:rFonts w:ascii="Times New Roman;Times;Serif" w:hAnsi="Times New Roman;Times;Serif"/>
          <w:b w:val="false"/>
          <w:i w:val="false"/>
          <w:caps w:val="false"/>
          <w:smallCaps w:val="false"/>
          <w:sz w:val="20"/>
        </w:rPr>
        <w:t>” means the Trading Market on which the Common Stock is primarily listed on and quoted for trading, which, as of the date of this Agreement and the Closing Date, shall be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means an action, claim, suit, investigation or proceeding (including, without limitation, an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Purchaser Deliverables</w:t>
      </w:r>
      <w:r>
        <w:rPr>
          <w:rFonts w:ascii="Times New Roman;Times;Serif" w:hAnsi="Times New Roman;Times;Serif"/>
          <w:b w:val="false"/>
          <w:i w:val="false"/>
          <w:caps w:val="false"/>
          <w:smallCaps w:val="false"/>
          <w:sz w:val="20"/>
        </w:rPr>
        <w:t>” has the meaning set forth in Section 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has the meaning set forth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by the Purchasers of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Regulation D</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SEC Reports</w:t>
      </w:r>
      <w:r>
        <w:rPr>
          <w:rFonts w:ascii="Times New Roman;Times;Serif" w:hAnsi="Times New Roman;Times;Serif"/>
          <w:b w:val="false"/>
          <w:i w:val="false"/>
          <w:caps w:val="false"/>
          <w:smallCaps w:val="false"/>
          <w:sz w:val="20"/>
        </w:rPr>
        <w:t>” has the meaning set forth in Section 3.1(g).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Secretary’s Certificate</w:t>
      </w:r>
      <w:r>
        <w:rPr>
          <w:rFonts w:ascii="Times New Roman;Times;Serif" w:hAnsi="Times New Roman;Times;Serif"/>
          <w:b w:val="false"/>
          <w:i w:val="false"/>
          <w:caps w:val="false"/>
          <w:smallCaps w:val="false"/>
          <w:sz w:val="20"/>
        </w:rPr>
        <w:t>” has the meaning set forth in 2.3(a)(vii).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has the meaning set forth in the Recitals, and also includes any other class of securities into which the Preferred Stock may hereafter be reclassified or changed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Short Sales</w:t>
      </w:r>
      <w:r>
        <w:rPr>
          <w:rFonts w:ascii="Times New Roman;Times;Serif" w:hAnsi="Times New Roman;Times;Serif"/>
          <w:b w:val="false"/>
          <w:i w:val="false"/>
          <w:caps w:val="false"/>
          <w:smallCaps w:val="false"/>
          <w:sz w:val="20"/>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Principal Trading Market with respect to the Common Stock as in effect on the date of delivery of the applicable request to remove legends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Subscription Amount</w:t>
      </w:r>
      <w:r>
        <w:rPr>
          <w:rFonts w:ascii="Times New Roman;Times;Serif" w:hAnsi="Times New Roman;Times;Serif"/>
          <w:b w:val="false"/>
          <w:i w:val="false"/>
          <w:caps w:val="false"/>
          <w:smallCaps w:val="false"/>
          <w:sz w:val="20"/>
        </w:rPr>
        <w:t xml:space="preserve">” means, with respect to each Purchaser, the aggregate amount to be paid for the Securities purchased hereunder as indicated on </w:t>
      </w: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xml:space="preserve"> opposite such Purchaser’s name,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any subsidiary of the Company, and shall, where applicable, include any subsidiary of the Company formed or acquired after the date hereof, including, for the avoidance of doubt,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means this Agreement, the schedules and exhibits attached hereto, the Registration Rights Agreement, the Irrevocable Transfer Agent Instructions and any other documents or agreements explicitly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or any successor transfer agent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Unaudited Interim Balance Sheet</w:t>
      </w:r>
      <w:r>
        <w:rPr>
          <w:rFonts w:ascii="Times New Roman;Times;Serif" w:hAnsi="Times New Roman;Times;Serif"/>
          <w:b w:val="false"/>
          <w:i w:val="false"/>
          <w:caps w:val="false"/>
          <w:smallCaps w:val="false"/>
          <w:sz w:val="20"/>
        </w:rPr>
        <w:t>” means the unaudited condensed consolidated balance sheets of the Company and its Subsidiaries as of March 31, 2026 included in the Company’s Quarterly Report on Form 10-Q filed with the Commission on 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AND 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Purchase and Sale</w:t>
      </w:r>
      <w:r>
        <w:rPr>
          <w:rFonts w:ascii="Times New Roman;Times;Serif" w:hAnsi="Times New Roman;Times;Serif"/>
          <w:b w:val="false"/>
          <w:i w:val="false"/>
          <w:caps w:val="false"/>
          <w:smallCaps w:val="false"/>
          <w:sz w:val="20"/>
        </w:rPr>
        <w:t>. On the Closing Date, upon the terms and subject to the conditions set forth herein, the Company will issue and sell to the Purchasers, and the Purchasers will purchase, severally and not jointly, the number of Securities set forth opposite the name of such Purchaser under the heading “</w:t>
      </w:r>
      <w:r>
        <w:rPr>
          <w:rFonts w:ascii="Times New Roman;Times;Serif" w:hAnsi="Times New Roman;Times;Serif"/>
          <w:b/>
          <w:i/>
          <w:caps w:val="false"/>
          <w:smallCaps w:val="false"/>
          <w:sz w:val="20"/>
        </w:rPr>
        <w:t>Number of Securities Purchased</w:t>
      </w:r>
      <w:r>
        <w:rPr>
          <w:rFonts w:ascii="Times New Roman;Times;Serif" w:hAnsi="Times New Roman;Times;Serif"/>
          <w:b w:val="false"/>
          <w:i w:val="false"/>
          <w:caps w:val="false"/>
          <w:smallCaps w:val="false"/>
          <w:sz w:val="20"/>
        </w:rPr>
        <w:t>” for the Subscription Amount set forth opposite the name of such Purchaser under the heading “</w:t>
      </w:r>
      <w:r>
        <w:rPr>
          <w:rFonts w:ascii="Times New Roman;Times;Serif" w:hAnsi="Times New Roman;Times;Serif"/>
          <w:b/>
          <w:i/>
          <w:caps w:val="false"/>
          <w:smallCaps w:val="false"/>
          <w:sz w:val="20"/>
        </w:rPr>
        <w:t>Subscription Amount</w:t>
      </w:r>
      <w:r>
        <w:rPr>
          <w:rFonts w:ascii="Times New Roman;Times;Serif" w:hAnsi="Times New Roman;Times;Serif"/>
          <w:b w:val="false"/>
          <w:i w:val="false"/>
          <w:caps w:val="false"/>
          <w:smallCaps w:val="false"/>
          <w:sz w:val="20"/>
        </w:rPr>
        <w:t xml:space="preserve">” on </w:t>
      </w: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xml:space="preserve"> attached hereto, for an aggregate purchase price for all Securities of $132,000,000.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Closing</w:t>
      </w:r>
      <w:r>
        <w:rPr>
          <w:rFonts w:ascii="Times New Roman;Times;Serif" w:hAnsi="Times New Roman;Times;Serif"/>
          <w:b w:val="false"/>
          <w:i w:val="false"/>
          <w:caps w:val="false"/>
          <w:smallCaps w:val="false"/>
          <w:sz w:val="20"/>
        </w:rPr>
        <w:t>. Upon the satisfaction of the conditions set forth in Article 5, the closing of the purchase and sale of the Securities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take place remotely via exchange of executed documents and funds on the second (2nd) Business Day after the date hereof, or at such other time and place as the Company may designate by notice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Payment</w:t>
      </w:r>
      <w:r>
        <w:rPr>
          <w:rFonts w:ascii="Times New Roman;Times;Serif" w:hAnsi="Times New Roman;Times;Serif"/>
          <w:b w:val="false"/>
          <w:i w:val="false"/>
          <w:caps w:val="false"/>
          <w:smallCaps w:val="false"/>
          <w:sz w:val="20"/>
        </w:rPr>
        <w:t xml:space="preserve">. On or prior to the Closing Date, each Purchaser shall deliver to the Company such Purchaser’s Subscription Amount via wire transfer of immediately available funds to an account designated in writing by the Company or by other means approved by the Company on or prior to the Closing Date. At the Closing, the Company shall deliver, or cause to be delivered, to such Purchaser against payment a book-entry statement from the Company’s transfer agent evidencing the number of Securities set forth opposite such Purchaser’s name on </w:t>
      </w: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registered in the name of such Purchaser (or its nominee in accordance with its delivery instructions), free and clear of any liens or restrictions (other than those arising under state and federal securities laws and bearing the legend set forth in Section 4.1(b)).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Closing Deliverables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On or prior to the Closing, the Company shall issue, deliver or cause to be delivered to each Purchaser the following (the “</w:t>
      </w:r>
      <w:r>
        <w:rPr>
          <w:rFonts w:ascii="Times New Roman;Times;Serif" w:hAnsi="Times New Roman;Times;Serif"/>
          <w:b/>
          <w:i/>
          <w:caps w:val="false"/>
          <w:smallCaps w:val="false"/>
          <w:sz w:val="20"/>
        </w:rPr>
        <w:t>Company Deliverables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evidence of the issuance of the Securities in the name of the Purchasers (or any nominees in accordance with the Purchasers’ delivery instructions) by book-entry statement from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a legal opinion of Company Counsel, dated as of the Closing Date and in form and substance reasonably satisfactory to the Purchasers, executed by such counsel and addressed to the Purchasers and the Placement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Registration Rights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 copy of the duly executed Irrevocable Transfer Agent Instructions acknowledged in writing by the Transfer Agent instructing the Transfer Agent to deliver the number of Securities set forth opposite the name of such Purchaser under the heading “</w:t>
      </w:r>
      <w:r>
        <w:rPr>
          <w:rFonts w:ascii="Times New Roman;Times;Serif" w:hAnsi="Times New Roman;Times;Serif"/>
          <w:b/>
          <w:i/>
          <w:caps w:val="false"/>
          <w:smallCaps w:val="false"/>
          <w:sz w:val="20"/>
        </w:rPr>
        <w:t>Number of Securities Purchased</w:t>
      </w:r>
      <w:r>
        <w:rPr>
          <w:rFonts w:ascii="Times New Roman;Times;Serif" w:hAnsi="Times New Roman;Times;Serif"/>
          <w:b w:val="false"/>
          <w:i w:val="false"/>
          <w:caps w:val="false"/>
          <w:smallCaps w:val="false"/>
          <w:sz w:val="20"/>
        </w:rPr>
        <w:t xml:space="preserve">” on </w:t>
      </w: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xml:space="preserve"> attached hereto, registered in the name of such Purchaser (or its nominee in accordance with its delivery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the Company shall have filed with Nasdaq a Notification Form: Listing of Additional Shares for the listing of the Securities and the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a certificate of the Secretary of the Company (the “</w:t>
      </w:r>
      <w:r>
        <w:rPr>
          <w:rFonts w:ascii="Times New Roman;Times;Serif" w:hAnsi="Times New Roman;Times;Serif"/>
          <w:b/>
          <w:i/>
          <w:caps w:val="false"/>
          <w:smallCaps w:val="false"/>
          <w:sz w:val="20"/>
        </w:rPr>
        <w:t>Secretary’s Certificate</w:t>
      </w:r>
      <w:r>
        <w:rPr>
          <w:rFonts w:ascii="Times New Roman;Times;Serif" w:hAnsi="Times New Roman;Times;Serif"/>
          <w:b w:val="false"/>
          <w:i w:val="false"/>
          <w:caps w:val="false"/>
          <w:smallCaps w:val="false"/>
          <w:sz w:val="20"/>
        </w:rPr>
        <w:t xml:space="preserve">”), dated as of the Closing Date, (a) certifying the resolutions adopted by the Board of Directors or a duly authorized committee thereof approving the transactions contemplated by this Agreement and the other Transaction Documents and the issuance of the Securities and the Conversion Shares, (b) certifying the current versions of the certificate of incorporation, as amended, and bylaws of the Company and (c) certifying as to the signatures and authority of persons signing the Transaction Documents and related documents on behalf of the Company, in substantially the form attached hereto as </w:t>
      </w:r>
      <w:r>
        <w:rPr>
          <w:rFonts w:ascii="Times New Roman;Times;Serif" w:hAnsi="Times New Roman;Times;Serif"/>
          <w:b/>
          <w:i w:val="false"/>
          <w:caps w:val="false"/>
          <w:smallCaps w:val="false"/>
          <w:sz w:val="20"/>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the Compliance Certificate referred to in Section 5.1(h);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a certificate evidencing the incorporation and good standing of the Company issued by the Secretary of State of the State of Delaware, as of a date within three (3) Business Days of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a certificate evidencing the Company’s qualification as a foreign corporation and good standing issued by the Secretary of State (or comparable office) of each jurisdiction in which the Company is qualified to do business as a foreign corporation, as of a date within three (3) Business Days of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t>
      </w:r>
      <w:r>
        <w:rPr>
          <w:rFonts w:ascii="Times New Roman;Times;Serif" w:hAnsi="Times New Roman;Times;Serif"/>
          <w:b w:val="false"/>
          <w:i w:val="false"/>
          <w:caps w:val="false"/>
          <w:smallCaps w:val="false"/>
          <w:sz w:val="20"/>
        </w:rPr>
        <w:t xml:space="preserve"> a certified copy of the Certificate of Designation, as filed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On or prior to the Closing, each Purchaser shall deliver or cause to be delivered to the Company the following (the “</w:t>
      </w:r>
      <w:r>
        <w:rPr>
          <w:rFonts w:ascii="Times New Roman;Times;Serif" w:hAnsi="Times New Roman;Times;Serif"/>
          <w:b/>
          <w:i/>
          <w:caps w:val="false"/>
          <w:smallCaps w:val="false"/>
          <w:sz w:val="20"/>
        </w:rPr>
        <w:t>Purchaser Deliverables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this Agreement, duly executed by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such Purchaser’s Subscription Amount, in United States dollars and in immediately available funds, in the amount set forth in the “</w:t>
      </w:r>
      <w:r>
        <w:rPr>
          <w:rFonts w:ascii="Times New Roman;Times;Serif" w:hAnsi="Times New Roman;Times;Serif"/>
          <w:b/>
          <w:i/>
          <w:caps w:val="false"/>
          <w:smallCaps w:val="false"/>
          <w:sz w:val="20"/>
        </w:rPr>
        <w:t>Subscription Amount</w:t>
      </w:r>
      <w:r>
        <w:rPr>
          <w:rFonts w:ascii="Times New Roman;Times;Serif" w:hAnsi="Times New Roman;Times;Serif"/>
          <w:b w:val="false"/>
          <w:i w:val="false"/>
          <w:caps w:val="false"/>
          <w:smallCaps w:val="false"/>
          <w:sz w:val="20"/>
        </w:rPr>
        <w:t xml:space="preserve">” column opposite each Purchaser’s name in the table set forth on </w:t>
      </w: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xml:space="preserve"> by wire transfer to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Registration Rights Agreement, duly executed by such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REPRESENTATIONS AND WARRANTIES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Representations and Warranties of the Company</w:t>
      </w:r>
      <w:r>
        <w:rPr>
          <w:rFonts w:ascii="Times New Roman;Times;Serif" w:hAnsi="Times New Roman;Times;Serif"/>
          <w:b w:val="false"/>
          <w:i w:val="false"/>
          <w:caps w:val="false"/>
          <w:smallCaps w:val="false"/>
          <w:sz w:val="20"/>
        </w:rPr>
        <w:t>. Except as previously disclosed in the SEC Reports filed with or furnished to the Commission prior to the date of this Agreement, the Company hereby represents and warrants the following, as of the date hereof and the Closing Date (except for the representations and warranties that speak as of a specific date, which shall be made as of such date), to each of the Purchasers and to the Placement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Due Organization; Subsidiaries</w:t>
      </w:r>
      <w:r>
        <w:rPr>
          <w:rFonts w:ascii="Times New Roman;Times;Serif" w:hAnsi="Times New Roman;Times;Serif"/>
          <w:b w:val="false"/>
          <w:i w:val="false"/>
          <w:caps w:val="false"/>
          <w:smallCaps w:val="false"/>
          <w:sz w:val="20"/>
        </w:rPr>
        <w:t>. Each of the Company and its subsidiaries is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and as proposed to be conducted as described in the SEC Reports, (ii) to own or lease and use its property and assets in the manner in which its property and assets are currently owned or leased and used and (iii) to perform its obligations under all Material Contracts. All of the Subsidiaries are wholly owned by the Company. Each of the Company and the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Authorization; Enforcement; Validity</w:t>
      </w:r>
      <w:r>
        <w:rPr>
          <w:rFonts w:ascii="Times New Roman;Times;Serif" w:hAnsi="Times New Roman;Times;Serif"/>
          <w:b w:val="false"/>
          <w:i w:val="false"/>
          <w:caps w:val="false"/>
          <w:smallCaps w:val="false"/>
          <w:sz w:val="20"/>
        </w:rPr>
        <w:t>. The Company has the requisite corporate power and authority to enter into the Transaction Documents and to consummate the transactions contemplated hereby or thereby. All corporate action on the part of the Company, its directors and stockholders necessary for the authorization, execution, sale, issuance and delivery of the Securities and, subject to the Company obtaining the Requisite Stockholder Approval, the Conversion Shares, contemplated herein has been taken. Each of the Transaction Documents to which the Company is a party have been (or upon delivery will have been) duly executed and delivered by the Company and is, or when delivered in accordance with the terms hereof or thereof, will constitute the legal, valid and binding obligation of the Company enforceable against the Company in accordance with its respective terms, except (i)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No Conflicts</w:t>
      </w:r>
      <w:r>
        <w:rPr>
          <w:rFonts w:ascii="Times New Roman;Times;Serif" w:hAnsi="Times New Roman;Times;Serif"/>
          <w:b w:val="false"/>
          <w:i w:val="false"/>
          <w:caps w:val="false"/>
          <w:smallCaps w:val="false"/>
          <w:sz w:val="20"/>
        </w:rPr>
        <w:t>. The execution, delivery and performance by the Company of the Transaction Documents to which it is a party and the issuance, sale and delivery of the Securities to be sold by the Company under the Transaction Documents (including, subject to the Company obtaining the Requisite Stockholder Approval, the issuance of Conversion Shares upon the conversion of the Securities), the performance by the Company of its obligations under the Transaction Documents and the consummation of the transactions contemplated hereby or thereby (including without limitation, and subject to the prior receipt of the Requisite Stockholder Approval, the issuance of the Securities and the reservation for issuance of the Conversion Shares) do not and will not (a) conflict with, result in the breach or violation of, or constitute (with or without the giving of notice or the passage of time or both) a violation of, or default under, (i) any bond, debenture, note or other evidence of indebtedness, or under any lease, license, franchise, permit, indenture, mortgage, deed of trust, loan agreement, joint venture or other agreement or instrument to which the Company or any of its Subsidiaries is a party or by which it or its properties may be bound or affected, (ii) the Company’s second amended and restated certificate of incorporation, as amended and as in effect on the date hereof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the Company’s third amended and restated bylaws, as in effect on the date hereof (the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or the equivalent document with respect to any of the Company’s Subsidiaries, as amended and as in effect on the date hereof, or (iii) subject to the Company obtaining the Requisite Stockholder Approval, any statute or law, judgment, decree, rule, regulation, ordinance or order of any court or governmental or regulatory body (including the Nasdaq), governmental agency, arbitration panel or authority applicable to the Company, any of its subsidiaries or their respective properties, except in the case of clauses (i) and (iii) for such conflicts, breaches, violations or defaults that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Filings, Consents and Approvals</w:t>
      </w:r>
      <w:r>
        <w:rPr>
          <w:rFonts w:ascii="Times New Roman;Times;Serif" w:hAnsi="Times New Roman;Times;Serif"/>
          <w:b w:val="false"/>
          <w:i w:val="false"/>
          <w:caps w:val="false"/>
          <w:smallCaps w:val="false"/>
          <w:sz w:val="20"/>
        </w:rPr>
        <w:t>. Except for any Current Report on Form 8-K, Notice of Exempt Offering of Securities on Form D to be filed by the Company in connection with the transaction contemplated hereby, any required filing with the Nasdaq, the Requisite Stockholder Approval, the filing of the Certificate of Designation and the registration statement required to be filed by the Registration Rights Agreement, neither the Company nor any of its Subsidiaries is required to give any notice to, or make any filings with, or obtain any authorization, consent, or approval of any government or governmental agency in order to consummate the transactions contemplated by the Transaction Documents. Assuming the accuracy of the representations of the Purchasers in Section 3.2, no consent, approval, authorization or other order of, or registration, qualification or filing with, any court, regulatory body, administrative agency, self-regulatory organization, stock exchange or market (including Nasdaq), or other governmental body is required for the execution and delivery of the Transaction Documents, the valid issuance, sale and delivery of the Securities to be sold pursuant to the Transaction Documents (including, subject to the Company obtaining the Requisite Stockholder Approval, the issuance of Conversion Shares upon conversion of the Securities) other than such as have been or will be made or obtained, or for any securities filings required to be made under federal or state securities laws applicable to the offering of the Securities or the issuance of Conversion Shares upon conversion of the Securities (other than the Requisite Stockholder Approval and filings that have been made, or will be made, pursuant to the rules and regulations of Nasdaq). The Company and its Subsidiaries are unaware of any facts or circumstances that might prevent the Company from obtaining or effecting any of the registration, application or filings pursuant to this Section 3.1(d).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Issuance of the Securities</w:t>
      </w:r>
      <w:r>
        <w:rPr>
          <w:rFonts w:ascii="Times New Roman;Times;Serif" w:hAnsi="Times New Roman;Times;Serif"/>
          <w:b w:val="false"/>
          <w:i w:val="false"/>
          <w:caps w:val="false"/>
          <w:smallCaps w:val="false"/>
          <w:sz w:val="20"/>
        </w:rPr>
        <w:t>. The issuance of the Securities has been duly authorized and the Securities, when issued and paid for in accordance with the terms of the Transaction Documents, will be duly and validly issued, fully paid and nonassessable and free and clear of any Encumbrances, preemptive rights or restrictions (other than as provided in this Agreement, the Certificate of Designation or any restrictions on transfer generally imposed under applicable securities laws). Subject to receipt of the Requisite Stockholder Approval, the Conversion Shares, when issued in accordance with the terms of the Certificate of Designation, will be duly authorized, validly issued, fully paid and non-assessable, and shall be free and clear of any encumbrances, preemptive rights or restrictions (other than as provided in this Agreement or any restrictions on transfer generally imposed under applicable securities laws). Within one Business Day following receipt of the Requisite Stockholder Approval, the Company shall have reserved such number of shares of Common Stock sufficient to enable the full conversion of all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Capitalization</w:t>
      </w:r>
      <w:r>
        <w:rPr>
          <w:rFonts w:ascii="Times New Roman;Times;Serif" w:hAnsi="Times New Roman;Times;Serif"/>
          <w:b w:val="false"/>
          <w:i w:val="false"/>
          <w:caps w:val="false"/>
          <w:smallCaps w:val="false"/>
          <w:sz w:val="20"/>
        </w:rPr>
        <w:t>. As of July 16, 2026, the authorized capital stock of the Company consisted of (i) 10,000,000 shares of preferred stock, par value $0.0001 per share, none of which were issued and outstanding, (ii) 490,000,000 shares of voting Common Stock, 28,079,552 shares of which were issued and outstanding, and (iii) 2,000,000 shares of non-voting Common Stock, par value $0.0001 per share, none of which were issued and outstanding. The issuance and sale of the Shares will not obligate the Company to issue shares of Common Stock or other securities to any Person other than the Purchasers, and will not result in a right of any holder of Company securities to adjust the exercise, conversion, exchange or reset price under any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Merger Agreement has been duly and validly authorized, executed and delivered by the Company and the Merger Sub and, assuming due authorization, execution and delivery by the other parties thereto, constitutes a valid and binding agreement of the Company and the Merger Sub enforceable against the Company and the Merger Sub in accordance with its terms, except as enforceability may be limited by applicable bankruptcy, insolvency or similar laws affecting the enforcement of creditors’ rights generally or by equitable principles relating to enforceability.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To the knowledge of the Company, the representations and warranties of Kira contained in Section 2 of the Merger Agreement (as qualified therein and in the disclosure schedules thereto) were, as of the date of the Merger Agreement, and are, as of the date hereof, true and accurate in all material respects (or, if any such representations or warranties are qualified by materiality, material adverse effect or similar language,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Effective as of the consummation of the Merger, the Merger Sub will be a wholly-owned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SEC Reports; Disclosure Materials</w:t>
      </w:r>
      <w:r>
        <w:rPr>
          <w:rFonts w:ascii="Times New Roman;Times;Serif" w:hAnsi="Times New Roman;Times;Serif"/>
          <w:b w:val="false"/>
          <w:i w:val="false"/>
          <w:caps w:val="false"/>
          <w:smallCaps w:val="false"/>
          <w:sz w:val="20"/>
        </w:rPr>
        <w:t>. The Company has filed or furnished, as applicable, on a timely basis all forms, statements, certifications, reports and documents required to be filed or furnished by it with the Commission under the Exchange Act or the Securities Act since January 1, 2025 (collectively, and in each case including all exhibits and schedules thereto and documents incorporated by reference therein, the “</w:t>
      </w:r>
      <w:r>
        <w:rPr>
          <w:rFonts w:ascii="Times New Roman;Times;Serif" w:hAnsi="Times New Roman;Times;Serif"/>
          <w:b/>
          <w:i/>
          <w:caps w:val="false"/>
          <w:smallCaps w:val="false"/>
          <w:sz w:val="20"/>
        </w:rPr>
        <w:t>SEC Reports</w:t>
      </w:r>
      <w:r>
        <w:rPr>
          <w:rFonts w:ascii="Times New Roman;Times;Serif" w:hAnsi="Times New Roman;Times;Serif"/>
          <w:b w:val="false"/>
          <w:i w:val="false"/>
          <w:caps w:val="false"/>
          <w:smallCaps w:val="false"/>
          <w:sz w:val="20"/>
        </w:rPr>
        <w:t>”). As of the time it was filed with the Commission (or, if amended or superseded by a filing prior to the date of this Agreement, then on the date of such filing), each of the SEC Reports complied in all material respects with the applicable requirements of the Securities Act or the Exchange Act (as the case may be) and as of the time they were filed, none of the SEC Reports contained any untrue statement of a material fact or omitted to state a material fact required to be stated therein or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Financial Statements</w:t>
      </w:r>
      <w:r>
        <w:rPr>
          <w:rFonts w:ascii="Times New Roman;Times;Serif" w:hAnsi="Times New Roman;Times;Serif"/>
          <w:b w:val="false"/>
          <w:i w:val="false"/>
          <w:caps w:val="false"/>
          <w:smallCaps w:val="false"/>
          <w:sz w:val="20"/>
        </w:rPr>
        <w:t>. As of their respective filing dates, the financial statements (including any related notes) contained or incorporated by reference in the SEC Reports (i) complied as to form in all material respects with the Securities Act and the Exchange Act, as applicable, and the published rules and regulations of the Commission applicable thereto, (ii) were prepared in accordance with GAAP (except as may be indicated in the notes to such financial statements or, in the case of unaudited financial statements, as permitted by Form 10-Q of the Commission,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the Company as of the respective dates thereof and the results of operations and cash flows of the Company for the periods covered thereby. Other than as expressly disclosed in the SEC Reports filed prior to the date hereof, there has been no material change in the Company’s accounting methods or principles that would be required to be disclosed in the Company’s financial statements in accordance with GAAP. Except as set forth in the consolidated financial statements of the Company included in the SEC Reports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books of account and other financial records of the Company and each of its Subsidiaries are true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Independent Accountants</w:t>
      </w:r>
      <w:r>
        <w:rPr>
          <w:rFonts w:ascii="Times New Roman;Times;Serif" w:hAnsi="Times New Roman;Times;Serif"/>
          <w:b w:val="false"/>
          <w:i w:val="false"/>
          <w:caps w:val="false"/>
          <w:smallCaps w:val="false"/>
          <w:sz w:val="20"/>
        </w:rPr>
        <w:t>. PricewaterhouseCoopers LLP, who has certified certain financial statements of the Company and delivered its report with respect to the audited financial statements included in the SEC Reports, has at all times since the date of enactment of the Sarbanes-Oxley Act been (i) a registered public accounting firm (as defined in Section 2(a)(12) of the Sarbanes-Oxley Act), (ii) to the knowledge of the Company, “independent” with respect to the Company within the meaning of Regulation S-X under the Exchange Act and (iii) to the knowledge of the Company, in compliance with subsections (g) through (l) of Section 10A of the Exchange Act and the rules and regulations promulgated by the Commission and the Public Accounting Oversight Board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Absence of Certain Changes</w:t>
      </w:r>
      <w:r>
        <w:rPr>
          <w:rFonts w:ascii="Times New Roman;Times;Serif" w:hAnsi="Times New Roman;Times;Serif"/>
          <w:b w:val="false"/>
          <w:i w:val="false"/>
          <w:caps w:val="false"/>
          <w:smallCaps w:val="false"/>
          <w:sz w:val="20"/>
        </w:rPr>
        <w:t>. Since December 31, 2025, there has been (i) no Material Adverse Change to, and no material adverse development in, the business, properties, operations, condition (financial or otherwise), results of operations or prospects of the Company or its Subsidiaries and (ii) no Material Adverse Effect. Since March 31, 2026, neither the Company nor any of its Subsidiaries has (i) declared or paid any dividends, other than the CVRs (as defined in the Merger Agreement), (ii) sold any material assets, individually or in the aggregate, outside of the ordinary course of business, (iii) made any material change or material amendment to, or waiver of any material right, or termination of, any Material Contract or (iv) had material capital expenditures, individually or in the aggregate, outside of the ordinary course of business. Neither the Company nor any of its Subsidiaries has taken any steps to seek protection pursuant to any bankruptcy law nor does the Company have any knowledge or reason to believe that its creditors intend to initiate involuntary bankruptcy proceedings or any actual knowledge of any fact that would reasonably lead any such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3.1(k), “</w:t>
      </w:r>
      <w:r>
        <w:rPr>
          <w:rFonts w:ascii="Times New Roman;Times;Serif" w:hAnsi="Times New Roman;Times;Serif"/>
          <w:b/>
          <w:i/>
          <w:caps w:val="false"/>
          <w:smallCaps w:val="false"/>
          <w:sz w:val="20"/>
        </w:rPr>
        <w:t>Insolvent</w:t>
      </w:r>
      <w:r>
        <w:rPr>
          <w:rFonts w:ascii="Times New Roman;Times;Serif" w:hAnsi="Times New Roman;Times;Serif"/>
          <w:b w:val="false"/>
          <w:i w:val="false"/>
          <w:caps w:val="false"/>
          <w:smallCaps w:val="false"/>
          <w:sz w:val="20"/>
        </w:rPr>
        <w: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Litigation</w:t>
      </w:r>
      <w:r>
        <w:rPr>
          <w:rFonts w:ascii="Times New Roman;Times;Serif" w:hAnsi="Times New Roman;Times;Serif"/>
          <w:b w:val="false"/>
          <w:i w:val="false"/>
          <w:caps w:val="false"/>
          <w:smallCaps w:val="false"/>
          <w:sz w:val="20"/>
        </w:rPr>
        <w:t>. There is no action, suit, proceeding or investigation pending or, to the Company’s Knowledge, currently threatened in writing against the Company or any of its directors and officers that questions the validity of the Transaction Documents or the right of the Company to enter into the Transaction Documents or to consummate the transactions contemplated hereby. Except as disclosed in the SEC Reports, there is no action, suit, proceeding or investigation pending or, to the Company’s Knowledge, currently threatened in writing against the Company or any Subsidiary or any of their respective directors and officers which would, if there were an unfavorable decision, have, either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Employment Matters.</w:t>
      </w:r>
      <w:r>
        <w:rPr>
          <w:rFonts w:ascii="Times New Roman;Times;Serif" w:hAnsi="Times New Roman;Times;Serif"/>
          <w:b w:val="false"/>
          <w:i w:val="false"/>
          <w:caps w:val="false"/>
          <w:smallCaps w:val="false"/>
          <w:sz w:val="20"/>
        </w:rPr>
        <w:t xml:space="preserve"> No material labor dispute exists or, to the Company’s Knowledge, is imminent with respect to any of the employees of the Company which would have or would reasonably be expected to result in a Material Adverse Effect. None of the Company’s or any Subsidiary’s employees is a member of a labor union that relates to such employee’s relationship with the Company, and neither the Company nor any of its Subsidiaries is a party to a collective bargaining agreement. To the Company’s Knowledge, no executive officer or key employee, is, or is now expected to be, in violation of any material term of any employment Contract, confidentiality, disclosure or proprietary information agreement or non-competition agreement, or any other Contract or agreement or any restrictive covenant in favor of any third party, and to the Company’s Knowledge, the continued employment of each such executive officer or key employee does not subject the Company or any Subsidiary to any liability with respect to any of the foregoing matters, except, in each case, matters that, individually or in the aggregate, would not reasonably be expected to result in a Material Adverse Effect. The Company is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Conduct of Business; Regulatory Permits</w:t>
      </w:r>
      <w:r>
        <w:rPr>
          <w:rFonts w:ascii="Times New Roman;Times;Serif" w:hAnsi="Times New Roman;Times;Serif"/>
          <w:b w:val="false"/>
          <w:i w:val="false"/>
          <w:caps w:val="false"/>
          <w:smallCaps w:val="false"/>
          <w:sz w:val="20"/>
        </w:rPr>
        <w:t>. Neither the Company nor any of its Subsidiaries is in violation of any term of or in default under its Certificate of Incorporation, any Certificate of Designation of any outstanding series of preferred stock of the Company or the Bylaws or their organizational charter or bylaws, respectively. Neither the Company nor any of its Subsidiaries (i) is in default of or in violation of, nor has the Company or any of its Subsidiaries received written notice of a claim that it is in default under or that it is in violation of, any Material Contract (whether or not such default or violation has been waived), or (ii) is in violation of any judgment, decree or order or any statute, ordinance, rule or regulation applicable to the Company or its Subsidiaries, and neither the Company nor any of its Subsidiaries will conduct its business in violation of any of the foregoing, except for possible violations which would not, individually or in the aggregate, reasonably be expected to have a Material Adverse Effect. Without limiting the generality of the foregoing, except as disclosed on the Company’s Current Report on Form 8-K filed with the SEC on June 9, 2026, the Company is not in violation of any of the rules, regulations or requirements of the Nasdaq and has no knowledge of any facts or circumstances that would reasonably lead to delisting or suspension of the Common Stock by Nasdaq in the foreseeable future. The Company and its Subsidiaries possess all certificates, authorizations and permits issued by the appropriate regulatory authorities necessary to conduct their respective businesses as currently conducted, except where the failure to possess such certificates, authorizations or permits would not reasonably be expected to have, individually or in the aggregate, a Material Adverse Effect, and neither the Company nor any such Subsidiary has received any written notice of proceedings relating to the revocation or modification of any such certificate, authorization or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Title to Assets</w:t>
      </w:r>
      <w:r>
        <w:rPr>
          <w:rFonts w:ascii="Times New Roman;Times;Serif" w:hAnsi="Times New Roman;Times;Serif"/>
          <w:b w:val="false"/>
          <w:i w:val="false"/>
          <w:caps w:val="false"/>
          <w:smallCaps w:val="false"/>
          <w:sz w:val="20"/>
        </w:rPr>
        <w:t>. Each of the Company and its Subsidiaries owns, and has good and marketable title to, or, in the case of leased properties and assets, valid leasehold interests in, all tangible properties or tangible assets and equipment used or held for use in its business or operations or purported to be owned by it, including: (a) all tangible assets reflected on the Unaudited Interim Balance Sheet and (b) all other tangible assets reflected in the books and records of the Company as being owned by the Company. All of such assets are owned or, in the case of leased assets, leased by the Company or any of its Subsidiaries free and clear of any Encumbrances,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Intellectual Property Rights</w:t>
      </w:r>
      <w:r>
        <w:rPr>
          <w:rFonts w:ascii="Times New Roman;Times;Serif" w:hAnsi="Times New Roman;Times;Serif"/>
          <w:b w:val="false"/>
          <w:i w:val="false"/>
          <w:caps w:val="false"/>
          <w:smallCaps w:val="false"/>
          <w:sz w:val="20"/>
        </w:rPr>
        <w:t>. Except as otherwise disclosed in the SEC Reports, the Company and its Subsidiaries own, or have obtained valid and enforceable licenses for, the inventions, patent applications, patents, trademarks, trade names, service names, copyrights, trade secrets and other intellectual property described in the SEC Reports as being owned or licensed by them or which are necessary for the conduct of their respective businesses as currently conducted or as currently proposed to be conducted (collectively, “</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and the conduct of their respective businesses does not infringe, misappropriate or otherwise conflict in any material respect with any such rights of others. To the Company’s Knowledge, the operation of the business of the Company, as now conducted or as proposed to be conducted in the SEC Reports, together with the Company’s use of the Company’s Intellectual Property, does not conflict with, infringe, misappropriate or otherwise violate the Intellectual Property of any third party. Except as disclosed in the SEC Reports, no actions, suits, claims or proceedings have been asserted, or, to the Company’s Knowledge, threatened in writing against the Company alleging any of the foregoing or seeking to challenge, deny or restrict the operation of the business of the Company and the Company is unaware of any facts which would form a reasonable basis for any such claim. Except as disclosed in the SEC Reports, the Company has not received any notice of a claim of infringement, misappropriation or conflict with Intellectual Property rights of others, except for such claims that would not, individually or the in aggregate, be reasonably expected to have a Material Adverse Effect. Except as disclosed in the SEC Reports, the Intellectual Property rights owned by the Company and, to the Company’s Knowledge, any Intellectual Property rights licensed to the Company have not been adjudged invalid or unenforceable, in whole or in part, and there is no pending or, to the Company’s Knowledge, threatened action, suit, proceeding or claim by others in writing challenging the validity or scope of any such Intellectual Property rights, and the Company is unaware of any facts which would form a reasonable basis for any such challenge, except for such actions, suits, proceedings, or claims that would not, individually or the in aggregate, be reasonably expected to have a Material Adverse Effect. Except as otherwise disclosed in the SEC Reports, the Company is not a party to or bound by any options, licenses or agreements with respect to the Intellectual Property rights of any other person or entity that are required to be set forth in the SEC Reports. None of the technology or intellectual property used by the Company in its business has been obtained or is being used by the Company in violation of any contractual obligation binding on the Company or, to the Company’s Knowledge, any of its officers, directors or employees or otherwise in violation of the rights of any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Insurance</w:t>
      </w:r>
      <w:r>
        <w:rPr>
          <w:rFonts w:ascii="Times New Roman;Times;Serif" w:hAnsi="Times New Roman;Times;Serif"/>
          <w:b w:val="false"/>
          <w:i w:val="false"/>
          <w:caps w:val="false"/>
          <w:smallCaps w:val="false"/>
          <w:sz w:val="20"/>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to (i) renew its existing insurance coverage as and when such policies expire or (ii) obtain comparable coverage from similar institutions as may be necessary or appropriate to conduct its business as now conducted and at a cost that could not be expected to result in a Material Adverse Change. Neither the Company nor any of its subsidiaries has been denied any insurance coverage which it has sought or for which it has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Transactions with Affiliates and Employees</w:t>
      </w:r>
      <w:r>
        <w:rPr>
          <w:rFonts w:ascii="Times New Roman;Times;Serif" w:hAnsi="Times New Roman;Times;Serif"/>
          <w:b w:val="false"/>
          <w:i w:val="false"/>
          <w:caps w:val="false"/>
          <w:smallCaps w:val="false"/>
          <w:sz w:val="20"/>
        </w:rPr>
        <w:t>. Except as set forth in the SEC Reports, since the date of the Company’s Definitive Proxy Statement on Schedule 14A filed with the SEC on June 15, 2026, no event has occurred that would be required to be reported by the Company pursuant to Item 404 of Regulation S-K promulgated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Company’s Accounting System</w:t>
      </w:r>
      <w:r>
        <w:rPr>
          <w:rFonts w:ascii="Times New Roman;Times;Serif" w:hAnsi="Times New Roman;Times;Serif"/>
          <w:b w:val="false"/>
          <w:i w:val="false"/>
          <w:caps w:val="false"/>
          <w:smallCaps w:val="false"/>
          <w:sz w:val="20"/>
        </w:rPr>
        <w:t>. The Company and each of its Subsidiaries makes and keeps accurate books and records and maintains a system of internal control over financial reporting (as defined in Rules 13a-15 and 15d-15 under the Exchange Act)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SEC Reports fairly presents the information called for in all material respects and is prepared in accordance with the Commission’s rules and guidelines applicable thereto. Since January 1, 2025, (i) neither the Company nor any Subsidiary nor, to the Company’s Knowledge, any director, officer, employee, auditor, accountant or representative of the Company or any Subsidiary has received or otherwise had or obtained knowledge of any material complaint, allegation, assertion or claim, whether written or oral, regarding the accounting or auditing practices, procedures, methodologies or methods of the Company or any Subsidiary or their respective internal accounting controls, including any material complaint, allegation, assertion or claim that the Company or any Subsidiary has engaged in questionable accounting or auditing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Sarbanes-Oxley; Disclosure Controls</w:t>
      </w:r>
      <w:r>
        <w:rPr>
          <w:rFonts w:ascii="Times New Roman;Times;Serif" w:hAnsi="Times New Roman;Times;Serif"/>
          <w:b w:val="false"/>
          <w:i w:val="false"/>
          <w:caps w:val="false"/>
          <w:smallCaps w:val="false"/>
          <w:sz w:val="20"/>
        </w:rPr>
        <w:t>. The Company is in compliance in all material respects with the applicable provisions of the Sarbanes-Oxley Act of 2002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No Registration</w:t>
      </w:r>
      <w:r>
        <w:rPr>
          <w:rFonts w:ascii="Times New Roman;Times;Serif" w:hAnsi="Times New Roman;Times;Serif"/>
          <w:b w:val="false"/>
          <w:i w:val="false"/>
          <w:caps w:val="false"/>
          <w:smallCaps w:val="false"/>
          <w:sz w:val="20"/>
        </w:rPr>
        <w:t>. Assuming the accuracy of each Purchaser’s representations and warranties set forth in Section 3.2, no registration under the Securities Act is required for the offer and sale of the Securities by the Company to the Purchasers as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Certain Fees</w:t>
      </w:r>
      <w:r>
        <w:rPr>
          <w:rFonts w:ascii="Times New Roman;Times;Serif" w:hAnsi="Times New Roman;Times;Serif"/>
          <w:b w:val="false"/>
          <w:i w:val="false"/>
          <w:caps w:val="false"/>
          <w:smallCaps w:val="false"/>
          <w:sz w:val="20"/>
        </w:rPr>
        <w:t>. No person or entity will have, as a result of the transactions contemplated by this Agreement, any valid right, interest or claim against or upon the Company or a Purchaser for any commission, fee or other compensation pursuant to any agreement, arrangement or understanding entered into by or on behalf of the Company, other than the Placement Agents with respect to the offer and sale of the Securities (which placement agent fees are being paid by the Company and/or Kira). The Purchasers shall have no obligation with respect to any fees or with respect to any claims made by or on behalf of other Persons for fees of a type contemplated in this Section 3.1(t) that may be due in connection with the transactions contemplated by the Transaction Documents. The Company shall indemnify, pay, and hold each Purchaser harmless against, any liability, loss or expense (including, without limitation, attorneys’ fees and out-of-pocket expenses) arising in connection with any such right, interest or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of this Agreement no registration under the Securities Act is required for the offer and sale of the Securities by the Company to the Purchasers under the Transaction Documents. The issuance and sale of the Securities hereunder does not contravene the rules and regulations of the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Company Not an Investment Company.</w:t>
      </w:r>
      <w:r>
        <w:rPr>
          <w:rFonts w:ascii="Times New Roman;Times;Serif" w:hAnsi="Times New Roman;Times;Serif"/>
          <w:b w:val="false"/>
          <w:i w:val="false"/>
          <w:caps w:val="false"/>
          <w:smallCaps w:val="false"/>
          <w:sz w:val="20"/>
        </w:rPr>
        <w:t xml:space="preserve"> The Company is not, and will not be, immediately after receipt of payment for the Securities, required to register as an “investment company”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Registration Rights</w:t>
      </w:r>
      <w:r>
        <w:rPr>
          <w:rFonts w:ascii="Times New Roman;Times;Serif" w:hAnsi="Times New Roman;Times;Serif"/>
          <w:b w:val="false"/>
          <w:i w:val="false"/>
          <w:caps w:val="false"/>
          <w:smallCaps w:val="false"/>
          <w:sz w:val="20"/>
        </w:rPr>
        <w:t>. Other than each of the Purchasers or as set forth in the SEC Reports, no Person has any right to cause the Company to effect the registration under the Securities Act of any securities of the Company other than those securities which are currently registered on an effective registration statement on file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terminate the registration of the Common Stock under the Exchange Act, nor has the Company received any notification that the Commission is contemplating terminating such registration or listing. To the Company’s Knowledge, except as reported on the Company’s Current Report on Form 8-K filed with the SEC on June 9, 2026, it is in compliance with all applicable listing requirements of the Principal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 Disclosure</w:t>
      </w:r>
      <w:r>
        <w:rPr>
          <w:rFonts w:ascii="Times New Roman;Times;Serif" w:hAnsi="Times New Roman;Times;Serif"/>
          <w:b w:val="false"/>
          <w:i w:val="false"/>
          <w:caps w:val="false"/>
          <w:smallCaps w:val="false"/>
          <w:sz w:val="20"/>
        </w:rPr>
        <w:t>. The Company confirms that it has not provided, and to the Company’s Knowledge, none of its officers or directors nor any other Person acting on its or their behalf has provided, and it has not authorized the Placement Agents to provide, any Purchaser or its respective agents or counsel with any information that it believes constitutes material, non-public information except insofar as the existence, provisions and terms of the Transaction Documents, the Merger Agreement and the proposed transactions hereunder and thereunder may constitute such information, all of which will be disclosed by the Company in the Press Release as contemplated by Section 4.4 hereof. The Company understands and confirms that the Purchasers will rely on the foregoing representations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 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and except with respect to the capital stock to be issued pursuant to the Merger Agreement, none of the Company, its Subsidiaries nor, to the Company’s Knowledge, any of its Affiliates or any Person acting on its behalf has, directly or indirectly, at any time within the past six (6) months, made any offers or sales of any Company security or solicited any offers to buy any security under circumstances that would (i) eliminate the availability of the exemption from registration under Regulation D under the Securities Act in connection with the offer and sale by the Company of the Securities as contemplated hereby or (ii) cause the offering of the Securities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 Tax Matters</w:t>
      </w:r>
      <w:r>
        <w:rPr>
          <w:rFonts w:ascii="Times New Roman;Times;Serif" w:hAnsi="Times New Roman;Times;Serif"/>
          <w:b w:val="false"/>
          <w:i w:val="false"/>
          <w:caps w:val="false"/>
          <w:smallCaps w:val="false"/>
          <w:sz w:val="20"/>
        </w:rPr>
        <w:t>. Each of the Company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of its Subsidiaries is subject to taxation by that jurisdiction. All material amounts of taxes due and owing by the Company and each of its Subsidiaries (whether or not shown on any tax return) have been timely paid. The unpaid taxes of the Company and each of its Subsidiaries for periods (or portions thereof) ending on or prior to the date of the Unaudited Interim Balance Sheet do not materially exceed the accruals for current taxes set forth on the Unaudited Interim Balance Sheet. Since the date of the Unaudited Interim Balance Sheet, neither the Company nor any of its Subsidiaries has incurred any material liability for taxes outside the ordinary course of business or otherwise inconsistent with past custom and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 Compliance with Environmental Laws</w:t>
      </w:r>
      <w:r>
        <w:rPr>
          <w:rFonts w:ascii="Times New Roman;Times;Serif" w:hAnsi="Times New Roman;Times;Serif"/>
          <w:b w:val="false"/>
          <w:i w:val="false"/>
          <w:caps w:val="false"/>
          <w:smallCaps w:val="false"/>
          <w:sz w:val="20"/>
        </w:rPr>
        <w:t>. Since January 1, 2023, the Company and each of its Subsidiaries has complied with all applicable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Material Adverse Effect. Neither the Company nor any of its Subsidiaries has received since January 1, 2023,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Material Adverse Effect. To the Knowledge of the Company: (i) no current or prior owner of any property leased or controlled by the Company or any of its Subsidiaries has received since January 1, 2023,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 No General Solicitation</w:t>
      </w:r>
      <w:r>
        <w:rPr>
          <w:rFonts w:ascii="Times New Roman;Times;Serif" w:hAnsi="Times New Roman;Times;Serif"/>
          <w:b w:val="false"/>
          <w:i w:val="false"/>
          <w:caps w:val="false"/>
          <w:smallCaps w:val="false"/>
          <w:sz w:val="20"/>
        </w:rPr>
        <w:t>. Neither the Company nor, to the Company’s Knowledge, any person acting on behalf of the Company has offered or sold any of the Securities by any form of general solicitation or general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 Anti-Corruption and Anti-Bribery Laws</w:t>
      </w:r>
      <w:r>
        <w:rPr>
          <w:rFonts w:ascii="Times New Roman;Times;Serif" w:hAnsi="Times New Roman;Times;Serif"/>
          <w:b w:val="false"/>
          <w:i w:val="false"/>
          <w:caps w:val="false"/>
          <w:smallCaps w:val="false"/>
          <w:sz w:val="20"/>
        </w:rPr>
        <w:t>. None of the Company, any of its Subsidiaries, any director, officer, or employee of the Company or any of its Subsidiaries, or, to the Company’s Knowledge,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non-U.S.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Times;Serif" w:hAnsi="Times New Roman;Times;Serif"/>
          <w:b/>
          <w:i/>
          <w:caps w:val="false"/>
          <w:smallCaps w:val="false"/>
          <w:sz w:val="20"/>
        </w:rPr>
        <w:t>FCPA</w:t>
      </w:r>
      <w:r>
        <w:rPr>
          <w:rFonts w:ascii="Times New Roman;Times;Serif" w:hAnsi="Times New Roman;Times;Serif"/>
          <w:b w:val="false"/>
          <w:i w:val="false"/>
          <w:caps w:val="false"/>
          <w:smallCaps w:val="false"/>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 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USA Patriot Act, the Bank Secrecy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Times;Serif" w:hAnsi="Times New Roman;Times;Serif"/>
          <w:b/>
          <w:i/>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or non-governmental authority involving the Company or its subsidiaries with respect to the Money Laundering Laws is pending or, to the Company’s Knowledge,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 OFAC</w:t>
      </w:r>
      <w:r>
        <w:rPr>
          <w:rFonts w:ascii="Times New Roman;Times;Serif" w:hAnsi="Times New Roman;Times;Serif"/>
          <w:b w:val="false"/>
          <w:i w:val="false"/>
          <w:caps w:val="false"/>
          <w:smallCaps w:val="false"/>
          <w:sz w:val="20"/>
        </w:rPr>
        <w:t>. Neither the Company nor any of its subsidiaries, nor any director, officer or employee thereof, nor, to the Company’s Knowledge, any agent, affiliate, representative or other person acting on behalf of the Company or any of its subsidiaries, is a Person that is, or is owned or controlled by a Person that is: (i) the subject of any economic, financial or trade sanctions administered or enforced by the U.S. Department of Treasury’s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the United Nations Security Council (“</w:t>
      </w:r>
      <w:r>
        <w:rPr>
          <w:rFonts w:ascii="Times New Roman;Times;Serif" w:hAnsi="Times New Roman;Times;Serif"/>
          <w:b/>
          <w:i/>
          <w:caps w:val="false"/>
          <w:smallCaps w:val="false"/>
          <w:sz w:val="20"/>
        </w:rPr>
        <w:t>UNSC</w:t>
      </w:r>
      <w:r>
        <w:rPr>
          <w:rFonts w:ascii="Times New Roman;Times;Serif" w:hAnsi="Times New Roman;Times;Serif"/>
          <w:b w:val="false"/>
          <w:i w:val="false"/>
          <w:caps w:val="false"/>
          <w:smallCaps w:val="false"/>
          <w:sz w:val="20"/>
        </w:rPr>
        <w:t>”), the European Union (“</w:t>
      </w:r>
      <w:r>
        <w:rPr>
          <w:rFonts w:ascii="Times New Roman;Times;Serif" w:hAnsi="Times New Roman;Times;Serif"/>
          <w:b/>
          <w:i/>
          <w:caps w:val="false"/>
          <w:smallCaps w:val="false"/>
          <w:sz w:val="20"/>
        </w:rPr>
        <w:t>EU</w:t>
      </w:r>
      <w:r>
        <w:rPr>
          <w:rFonts w:ascii="Times New Roman;Times;Serif" w:hAnsi="Times New Roman;Times;Serif"/>
          <w:b w:val="false"/>
          <w:i w:val="false"/>
          <w:caps w:val="false"/>
          <w:smallCaps w:val="false"/>
          <w:sz w:val="20"/>
        </w:rPr>
        <w:t>”), His Majesty’s Treasury (“</w:t>
      </w:r>
      <w:r>
        <w:rPr>
          <w:rFonts w:ascii="Times New Roman;Times;Serif" w:hAnsi="Times New Roman;Times;Serif"/>
          <w:b/>
          <w:i/>
          <w:caps w:val="false"/>
          <w:smallCaps w:val="false"/>
          <w:sz w:val="20"/>
        </w:rPr>
        <w:t>HMT</w:t>
      </w:r>
      <w:r>
        <w:rPr>
          <w:rFonts w:ascii="Times New Roman;Times;Serif" w:hAnsi="Times New Roman;Times;Serif"/>
          <w:b w:val="false"/>
          <w:i w:val="false"/>
          <w:caps w:val="false"/>
          <w:smallCaps w:val="false"/>
          <w:sz w:val="20"/>
        </w:rPr>
        <w:t>”), the Swiss Secretariat of Economic Affairs, or other relevant sanctions authority (collectively, “</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Subsidiary) and an unconsolidated or other off balance sheet entity that is required to be disclosed by the Company in SEC Reports and is not so disclosed and would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 Acknowledgment Regarding Purchaser’s Purchase of Securities</w:t>
      </w:r>
      <w:r>
        <w:rPr>
          <w:rFonts w:ascii="Times New Roman;Times;Serif" w:hAnsi="Times New Roman;Times;Serif"/>
          <w:b w:val="false"/>
          <w:i w:val="false"/>
          <w:caps w:val="false"/>
          <w:smallCaps w:val="false"/>
          <w:sz w:val="20"/>
        </w:rPr>
        <w:t>. The Company acknowledges and agrees that each Purchaser is acting solely in the capacity of an arm’s length purchaser with respect to this Agreement and the other Transaction Documents and the transactions contemplated hereby and thereby, and that the obligations of each Purchaser under this Agreement and the other Transaction Documents are several and not joint. The Company further acknowledges that no Purchaser is acting as a financial advisor or fiduciary of the Company or any of its Subsidiaries (or in any similar capacity) with respect to this Agreement and the other Transaction Documents and the transactions contemplated hereby and thereby, and any advice given by a Purchaser or any of its representatives or agents in connection with this Agreement and the other Transaction Documents and the transactions contemplated hereby and thereby is merely incidental to such Purchaser’s purchase of the Securities. The Company further represents to each Purchaser that the Company’s decision to enter into the Transaction Documents has been based solely on the independent evaluation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(kk) No Price Stabilization or Manipulation; Compliance with Regulation M</w:t>
      </w:r>
      <w:r>
        <w:rPr>
          <w:rFonts w:ascii="Times New Roman;Times;Serif" w:hAnsi="Times New Roman;Times;Serif"/>
          <w:b w:val="false"/>
          <w:i w:val="false"/>
          <w:caps w:val="false"/>
          <w:smallCaps w:val="false"/>
          <w:sz w:val="20"/>
        </w:rPr>
        <w:t>. Neither the Company nor any of its Subsidiaries has taken, directly or indirectly, any action designed to or that might cause or result in stabilization or manipulation of the price of any security of the Company to facilitate the sale or resale of the Securities or otherwise, and has taken no action which would directly or indirectly violate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 Regulatory Compliance</w:t>
      </w:r>
      <w:r>
        <w:rPr>
          <w:rFonts w:ascii="Times New Roman;Times;Serif" w:hAnsi="Times New Roman;Times;Serif"/>
          <w:b w:val="false"/>
          <w:i w:val="false"/>
          <w:caps w:val="false"/>
          <w:smallCaps w:val="false"/>
          <w:sz w:val="20"/>
        </w:rPr>
        <w:t>. The studies, tests and preclinical or clinical trials conducted by or on behalf of the Company and other activities regulated by the United States Food and Drug Administration of the U.S. Department of Health and Human Services (“</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the European Medicines Agency (“</w:t>
      </w:r>
      <w:r>
        <w:rPr>
          <w:rFonts w:ascii="Times New Roman;Times;Serif" w:hAnsi="Times New Roman;Times;Serif"/>
          <w:b/>
          <w:i/>
          <w:caps w:val="false"/>
          <w:smallCaps w:val="false"/>
          <w:sz w:val="20"/>
        </w:rPr>
        <w:t>EMA</w:t>
      </w:r>
      <w:r>
        <w:rPr>
          <w:rFonts w:ascii="Times New Roman;Times;Serif" w:hAnsi="Times New Roman;Times;Serif"/>
          <w:b w:val="false"/>
          <w:i w:val="false"/>
          <w:caps w:val="false"/>
          <w:smallCaps w:val="false"/>
          <w:sz w:val="20"/>
        </w:rPr>
        <w:t>”), or any federal, state, local or foreign governmental body exercising comparable authority that are described in the SEC Reports (the “</w:t>
      </w:r>
      <w:r>
        <w:rPr>
          <w:rFonts w:ascii="Times New Roman;Times;Serif" w:hAnsi="Times New Roman;Times;Serif"/>
          <w:b/>
          <w:i/>
          <w:caps w:val="false"/>
          <w:smallCaps w:val="false"/>
          <w:sz w:val="20"/>
        </w:rPr>
        <w:t>Company Studies and Trials</w:t>
      </w:r>
      <w:r>
        <w:rPr>
          <w:rFonts w:ascii="Times New Roman;Times;Serif" w:hAnsi="Times New Roman;Times;Serif"/>
          <w:b w:val="false"/>
          <w:i w:val="false"/>
          <w:caps w:val="false"/>
          <w:smallCaps w:val="false"/>
          <w:sz w:val="20"/>
        </w:rPr>
        <w:t>”) were and, if still pending, are being, conducted in all material respects in accordance with experimental protocols, procedures and controls pursuant to, where applicable, accepted professional medical and scientific standards, and all applicable federal, state or foreign laws, rules, orders and regulations, including all rules and regulations of the FDA, EMA, or any federal, state, local or foreign governmental body exercising comparable authority; the descriptions of the results of the Company Studies and Trials contained in the SEC Reports are accurate in all material respects; the Company has no Knowledge of any other studies or trials not described in the SEC Reports, the results of which are inconsistent with or call in question the results described or referred to in the SEC Reports; the Company has no Knowledge of any research misconduct or data fraud in any studies or clinical trials, the results of which the Company intends to include or reference in any regulatory submission for any product candidate; and the Company has not received any notices or correspondence with the FDA, EMA, or any federal, state, local or foreign governmental body exercising comparable authority requiring the termination, suspension or material modification of any Company Studies and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In using or disclosing patient information received by the Company in connection with the Company Studies and Trials, the Company has complied in all material respects with all applicable laws and regulatory rules or requirements, including, without limitation, the Health Insurance Portability and Accountability Act of 1996 (“</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and the rules and regulations thereunder. To the Company’s Knowledge, none of the Company Studies and Trials involved any investigator who has been disqualified as a clinical investigator or has been found by the FDA, EMA, or any federal, state, local or foreign governmental body exercising comparable authority to have engaged in scientific misconduct. To the Company’s Knowledge, the manufacturing facilities and operations of its suppliers are operated in compliance in all material respects with all applicable statutes, rules, regulations and policies of the FDA, EMA, or any federal, state, local or foreign governmental body exercising comparable authority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privacy, data security, cyber security, data protection, security incident notification, and electronic and telephonic communications laws and regulations, including, without limitation, laws related to the processing of Personal Data, the HIPAA, as amended by the Health Information Technology for Economic and Clinical Health Act (the “</w:t>
      </w:r>
      <w:r>
        <w:rPr>
          <w:rFonts w:ascii="Times New Roman;Times;Serif" w:hAnsi="Times New Roman;Times;Serif"/>
          <w:b/>
          <w:i/>
          <w:caps w:val="false"/>
          <w:smallCaps w:val="false"/>
          <w:sz w:val="20"/>
        </w:rPr>
        <w:t>HITECH Act</w:t>
      </w:r>
      <w:r>
        <w:rPr>
          <w:rFonts w:ascii="Times New Roman;Times;Serif" w:hAnsi="Times New Roman;Times;Serif"/>
          <w:b w:val="false"/>
          <w:i w:val="false"/>
          <w:caps w:val="false"/>
          <w:smallCaps w:val="false"/>
          <w:sz w:val="20"/>
        </w:rPr>
        <w:t>”) (42 U.S.C. Section 17921 et seq.), and the Company and its subsidiaries have taken all necessary actions to comply with the European Union General Data Protection Regulation (“</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(EU 2016/679), the Data Protection Act 2018 and GDPR as transposed into United Kingdom national law by operation of section 3 of the European Union (Withdrawal) Act 2018 and as amended by the Data Protection Privacy and Electronic Communications (amendments etc.) (EU Exit) Regulations 2019 (collectively, “</w:t>
      </w:r>
      <w:r>
        <w:rPr>
          <w:rFonts w:ascii="Times New Roman;Times;Serif" w:hAnsi="Times New Roman;Times;Serif"/>
          <w:b/>
          <w:i/>
          <w:caps w:val="false"/>
          <w:smallCaps w:val="false"/>
          <w:sz w:val="20"/>
        </w:rPr>
        <w:t>Privacy Laws</w:t>
      </w:r>
      <w:r>
        <w:rPr>
          <w:rFonts w:ascii="Times New Roman;Times;Serif" w:hAnsi="Times New Roman;Times;Serif"/>
          <w:b w:val="false"/>
          <w:i w:val="false"/>
          <w:caps w:val="false"/>
          <w:smallCaps w:val="false"/>
          <w:sz w:val="20"/>
        </w:rPr>
        <w:t>”) and agreements related to the processing or security of Personal Data (“</w:t>
      </w:r>
      <w:r>
        <w:rPr>
          <w:rFonts w:ascii="Times New Roman;Times;Serif" w:hAnsi="Times New Roman;Times;Serif"/>
          <w:b/>
          <w:i/>
          <w:caps w:val="false"/>
          <w:smallCaps w:val="false"/>
          <w:sz w:val="20"/>
        </w:rPr>
        <w:t>Privacy Agreements</w:t>
      </w:r>
      <w:r>
        <w:rPr>
          <w:rFonts w:ascii="Times New Roman;Times;Serif" w:hAnsi="Times New Roman;Times;Serif"/>
          <w:b w:val="false"/>
          <w:i w:val="false"/>
          <w:caps w:val="false"/>
          <w:smallCaps w:val="false"/>
          <w:sz w:val="20"/>
        </w:rPr>
        <w:t>”). To ensure compliance with the Privacy Laws and Privacy Agreements, the Company and its subsidiaries have in place, comply with, and take appropriate steps to ensure compliance in all material respects with their policies and procedures relating to data privacy and security and the collection, storage, use, disclosure, handling, processing, and analysis of Personal Data (the “</w:t>
      </w:r>
      <w:r>
        <w:rPr>
          <w:rFonts w:ascii="Times New Roman;Times;Serif" w:hAnsi="Times New Roman;Times;Serif"/>
          <w:b/>
          <w:i/>
          <w:caps w:val="false"/>
          <w:smallCaps w:val="false"/>
          <w:sz w:val="20"/>
        </w:rPr>
        <w:t>Policies</w:t>
      </w:r>
      <w:r>
        <w:rPr>
          <w:rFonts w:ascii="Times New Roman;Times;Serif" w:hAnsi="Times New Roman;Times;Serif"/>
          <w:b w:val="false"/>
          <w:i w:val="false"/>
          <w:caps w:val="false"/>
          <w:smallCaps w:val="false"/>
          <w:sz w:val="20"/>
        </w:rPr>
        <w:t>”). The Company provides accurate notice of its Policies to its customers, employees, third party vendors and representatives and has obtained all consents from persons regarding its processing of Personal Data as required by applicable Privacy Laws. The Policies provide accurate and sufficient notice of the Company’s then-current privacy practices relating to its subject matter and such Policies do not contain any material omissions of the Company’s then-current privacy practices. “</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 means (i) information that allows the identification of a natural person, his or her family or electronic device, or permits the collection or analysis of any data related to an identified person’s health or sexual orientation; (ii) any information which would qualify as “personally identifying information,” “protected health information”, “personal data,” “personal information,” “biometric information” or similar terms as defined by applicable Privacy Laws, Privacy Agreements, or Policies. None of such disclosures made or contained in any of the Policies have been inaccurate, misleading, deceptive or in violation of any Privacy Laws, Privacy Agreements, or Policies in any material respect. The execution, delivery and performance of this Agreement or any other agreement referred to in this Agreement will not result in a breach of any Privacy Laws, Privacy Agreements, or Policies. Neither the Company nor any of its subsidiaries, (i) has received any complaint, audit, proceeding, investigation, claim, or notice of any actual or potential liability under or relating to, or actual or potential violation of, any of the Privacy Laws, Privacy Agreements, or Policies,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 IT Systems</w:t>
      </w:r>
      <w:r>
        <w:rPr>
          <w:rFonts w:ascii="Times New Roman;Times;Serif" w:hAnsi="Times New Roman;Times;Serif"/>
          <w:b w:val="false"/>
          <w:i w:val="false"/>
          <w:caps w:val="false"/>
          <w:smallCaps w:val="false"/>
          <w:sz w:val="20"/>
        </w:rPr>
        <w:t>. (i)(x) To the Company’s Knowledge, there has been no unauthorized access, use, processing, loss, destruction, modification, unavailability, disclosure, or any security breach or attack or other compromise of or relating to any of the Company’s and its subsidiaries’ data (including Personal Data or confidential information) or information technology and computer systems, networks, hardware, software, data (including the data of their respective customers, clinical trial participants, employees, suppliers, vendors and any third party data maintained by or on behalf of them), equipment or technology (“</w:t>
      </w:r>
      <w:r>
        <w:rPr>
          <w:rFonts w:ascii="Times New Roman;Times;Serif" w:hAnsi="Times New Roman;Times;Serif"/>
          <w:b/>
          <w:i/>
          <w:caps w:val="false"/>
          <w:smallCaps w:val="false"/>
          <w:sz w:val="20"/>
        </w:rPr>
        <w:t>IT Systems and Data</w:t>
      </w:r>
      <w:r>
        <w:rPr>
          <w:rFonts w:ascii="Times New Roman;Times;Serif" w:hAnsi="Times New Roman;Times;Serif"/>
          <w:b w:val="false"/>
          <w:i w:val="false"/>
          <w:caps w:val="false"/>
          <w:smallCaps w:val="false"/>
          <w:sz w:val="20"/>
        </w:rPr>
        <w:t>”), and (y) the Company and its subsidiaries have not been notified of, and have no Knowledge of any event or condition that would reasonably be expected to result in any security breach, attack or compromise to their IT Systems and Data, (ii) the Company and its subsidiaries have materially complied, and are presently in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damage, loss, and against unauthorized use, access, disclosure, processing, misappropriation, modification, or other misuse, and (iii) the Company and its subsidiaries have implemented backup and disaster recovery technology consistent with industry standards and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 No Additional Agreements</w:t>
      </w:r>
      <w:r>
        <w:rPr>
          <w:rFonts w:ascii="Times New Roman;Times;Serif" w:hAnsi="Times New Roman;Times;Serif"/>
          <w:b w:val="false"/>
          <w:i w:val="false"/>
          <w:caps w:val="false"/>
          <w:smallCaps w:val="false"/>
          <w:sz w:val="20"/>
        </w:rPr>
        <w:t>. The Company does not have any agreement or understanding with any Purchaser with respect to the transactions contemplated by the Transaction Documents other than as specified in the Transaction Documents, and which, for the avoidance of doubt, does not contain terms (economic or otherwise) more favorable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 No Disqualification Events</w:t>
      </w:r>
      <w:r>
        <w:rPr>
          <w:rFonts w:ascii="Times New Roman;Times;Serif" w:hAnsi="Times New Roman;Times;Serif"/>
          <w:b w:val="false"/>
          <w:i w:val="false"/>
          <w:caps w:val="false"/>
          <w:smallCaps w:val="false"/>
          <w:sz w:val="20"/>
        </w:rPr>
        <w:t>. No “bad actor” disqualifying event described in Rule 506(d)(1)(i)-(viii) of the Securities Act (a “</w:t>
      </w:r>
      <w:r>
        <w:rPr>
          <w:rFonts w:ascii="Times New Roman;Times;Serif" w:hAnsi="Times New Roman;Times;Serif"/>
          <w:b/>
          <w:i/>
          <w:caps w:val="false"/>
          <w:smallCaps w:val="false"/>
          <w:sz w:val="20"/>
        </w:rPr>
        <w:t>Disqualification Event</w:t>
      </w:r>
      <w:r>
        <w:rPr>
          <w:rFonts w:ascii="Times New Roman;Times;Serif" w:hAnsi="Times New Roman;Times;Serif"/>
          <w:b w:val="false"/>
          <w:i w:val="false"/>
          <w:caps w:val="false"/>
          <w:smallCaps w:val="false"/>
          <w:sz w:val="20"/>
        </w:rPr>
        <w:t>”) is applicable to the Company or, to the Company’s Knowledge, any Company Covered Person (as defined below), except for a Disqualification Event as to which Rule 506(d)(2)(ii–iv) or (d)(3), is applicable. “</w:t>
      </w:r>
      <w:r>
        <w:rPr>
          <w:rFonts w:ascii="Times New Roman;Times;Serif" w:hAnsi="Times New Roman;Times;Serif"/>
          <w:b/>
          <w:i/>
          <w:caps w:val="false"/>
          <w:smallCaps w:val="false"/>
          <w:sz w:val="20"/>
        </w:rPr>
        <w:t>Company Covered Person</w:t>
      </w:r>
      <w:r>
        <w:rPr>
          <w:rFonts w:ascii="Times New Roman;Times;Serif" w:hAnsi="Times New Roman;Times;Serif"/>
          <w:b w:val="false"/>
          <w:i w:val="false"/>
          <w:caps w:val="false"/>
          <w:smallCaps w:val="false"/>
          <w:sz w:val="20"/>
        </w:rPr>
        <w:t>” means, with respect to the Company as an “issuer” for purposes of Rule 506 promulgated under the Securities Act, any person listed in the first paragraph of Rule 506(d)(1). Other than the Placement Agents, the Company is not aware of any Person (other than any Company Covered Person) that has been or will be paid (directly or indirectly) remuneration for solicitation of purchasers in connection with the sale of the Securities pursuant to this Agreement. The Company has complied, to the extent applicable, with its disclosure obligations under Rule 506(e), and has furnished to the Placement Agents a copy of any disclosures provided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 Shell Company Status</w:t>
      </w:r>
      <w:r>
        <w:rPr>
          <w:rFonts w:ascii="Times New Roman;Times;Serif" w:hAnsi="Times New Roman;Times;Serif"/>
          <w:b w:val="false"/>
          <w:i w:val="false"/>
          <w:caps w:val="false"/>
          <w:smallCaps w:val="false"/>
          <w:sz w:val="20"/>
        </w:rPr>
        <w:t>. The Company is not currently an issuer identified in Rule 144(i)(1) and, if it has been a “shell” company (as defined in Section 12b-2 of the Exchange Act) at any time previously, has filed current Form 10 information with the SEC at least twelve (12) calendar months previously reflecting its status as an entity that is not a shell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 Real Property Holding Corporation</w:t>
      </w:r>
      <w:r>
        <w:rPr>
          <w:rFonts w:ascii="Times New Roman;Times;Serif" w:hAnsi="Times New Roman;Times;Serif"/>
          <w:b w:val="false"/>
          <w:i w:val="false"/>
          <w:caps w:val="false"/>
          <w:smallCaps w:val="false"/>
          <w:sz w:val="20"/>
        </w:rPr>
        <w:t>. The Company is not, has never been, and so long as any Securities are held by any of the Purchasers, shall not become, a U.S. real property holding corporation within the meaning of Section 897 of the Internal Revenue Code of 1986, as amended, and the Company shall so certify upon any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Representations and Warranties of the Purchasers</w:t>
      </w:r>
      <w:r>
        <w:rPr>
          <w:rFonts w:ascii="Times New Roman;Times;Serif" w:hAnsi="Times New Roman;Times;Serif"/>
          <w:b w:val="false"/>
          <w:i w:val="false"/>
          <w:caps w:val="false"/>
          <w:smallCaps w:val="false"/>
          <w:sz w:val="20"/>
        </w:rPr>
        <w:t>. Each Purchaser hereby, for itself and for no other Purchaser, represents and warrants as of the date hereof and as of the Closing Date to the Company and the Placement Agents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Organization; Authority</w:t>
      </w:r>
      <w:r>
        <w:rPr>
          <w:rFonts w:ascii="Times New Roman;Times;Serif" w:hAnsi="Times New Roman;Times;Serif"/>
          <w:b w:val="false"/>
          <w:i w:val="false"/>
          <w:caps w:val="false"/>
          <w:smallCaps w:val="false"/>
          <w:sz w:val="20"/>
        </w:rPr>
        <w:t>. Such Purchaser is an entity duly organized, validly existing and in good standing under the laws of the jurisdiction of its organization with the requisite corporate, limited liability, partnership or other applicable power and authority to enter into and to consummate the transactions contemplated by the applicable Transaction Documents and otherwise to carry out its obligations hereunder and thereunder. The execution and delivery of this Agreement by such Purchaser and performance by such Purchaser of the transactions contemplated by this Agreement have been duly authorized by all necessary corporate or, if such Purchaser is not a corporation, such partnership, limited liability company or other applicable like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such enforceability may be limited by applicable bankruptcy, insolvency, reorganization, moratorium, liquidation or similar laws relating to, or affecting generally the enforcement of, creditors’ rights and remedies or by other equitable principles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No Conflicts</w:t>
      </w:r>
      <w:r>
        <w:rPr>
          <w:rFonts w:ascii="Times New Roman;Times;Serif" w:hAnsi="Times New Roman;Times;Serif"/>
          <w:b w:val="false"/>
          <w:i w:val="false"/>
          <w:caps w:val="false"/>
          <w:smallCaps w:val="false"/>
          <w:sz w:val="20"/>
        </w:rPr>
        <w:t>. The execution, delivery and performance by such Purchaser of this Agreement and the Registration Rights Agreement and the consummation by such Purchaser of the transactions contemplated hereby and thereby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U.S. federal and state securities laws) applicable to such Purchaser, except in the case of clauses (ii) and (iii) above, for such conflicts, defaults, rights or violations which would not, individually or in the aggregate, reasonably be expected to have a material adverse effect on the ability of such Purchaser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Investment Intent</w:t>
      </w:r>
      <w:r>
        <w:rPr>
          <w:rFonts w:ascii="Times New Roman;Times;Serif" w:hAnsi="Times New Roman;Times;Serif"/>
          <w:b w:val="false"/>
          <w:i w:val="false"/>
          <w:caps w:val="false"/>
          <w:smallCaps w:val="false"/>
          <w:sz w:val="20"/>
        </w:rPr>
        <w:t xml:space="preserve">. Such Purchaser understands that the Securities are and the Conversion Shares will be “restricted securities” and the offer and sale thereof have not been registered under the Securities Act or any applicable U.S. state securities law and is acquiring the Securities as principal for its own account and not with a view to, or for distributing or reselling such Securities or the Conversion Shares or any part thereof in violation of the Securities Act or any applicable U.S. state or other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by making the representations herein, such Purchaser does not agree to hold any of the Securities or the Conversion Shares for any minimum period of time and reserves the right, subject to the provisions of this Agreement and the Registration Rights Agreement, at all times to sell or otherwise dispose of all or any part of such Securities or the Conversion Shares pursuant to an effective registration statement under the Securities Act or under an exemption from such registration and in compliance with applicable U.S. federal, state and other securities laws. Such Purchaser is acquiring the Securities hereunder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does not presently have any agreement, plan or understanding, directly or indirectly, with any Person to distribute or effect any distribution of any of the Securities (or any securities which are derivatives thereof) to or through any person or entity; such Purchaser is not a registered broker-dealer under Section 15 of the Exchange Act or an entity engaged in a business that would require it to be so registered as a broker-dealer.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Purchaser Status</w:t>
      </w:r>
      <w:r>
        <w:rPr>
          <w:rFonts w:ascii="Times New Roman;Times;Serif" w:hAnsi="Times New Roman;Times;Serif"/>
          <w:b w:val="false"/>
          <w:i w:val="false"/>
          <w:caps w:val="false"/>
          <w:smallCaps w:val="false"/>
          <w:sz w:val="20"/>
        </w:rPr>
        <w:t>. At the time such Purchaser was offered the Securities, it was, and at the date hereof it is, an “accredited investor” as defined in Rule 501(a)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General Solicitation</w:t>
      </w:r>
      <w:r>
        <w:rPr>
          <w:rFonts w:ascii="Times New Roman;Times;Serif" w:hAnsi="Times New Roman;Times;Serif"/>
          <w:b w:val="false"/>
          <w:i w:val="false"/>
          <w:caps w:val="false"/>
          <w:smallCaps w:val="false"/>
          <w:sz w:val="20"/>
        </w:rPr>
        <w:t>. Such Purchaser is not purchasing the Securities as a result of any advertisement. Such Purchaser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Purchaser solely by direct contact between such Purchaser and the Company, the Placement Agents and/or their respective representatives. Such Purchaser did not become aware of this offering of the Securities, nor were the Securities offered to such Purchaser, by any other means, and none of the Company, the Placement Agents and/or their respective representatives acted as investment advisor, broker or dealer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Access to Information</w:t>
      </w:r>
      <w:r>
        <w:rPr>
          <w:rFonts w:ascii="Times New Roman;Times;Serif" w:hAnsi="Times New Roman;Times;Serif"/>
          <w:b w:val="false"/>
          <w:i w:val="false"/>
          <w:caps w:val="false"/>
          <w:smallCaps w:val="false"/>
          <w:sz w:val="20"/>
        </w:rPr>
        <w:t>. Such Purchaser acknowledges that it has had the opportunity to review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such Purchaser or its representatives or counsel shall modify, amend or affect such Purchaser’s right to rely on the truth, accuracy and completeness of the SEC Reports and the Company’s representations and warranties contained in the Transaction Documents. Such Purchaser has sought such accounting, legal and tax advice as it has considered necessary to make an informed decision with respect to its acquisition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Certain Trading Activities</w:t>
      </w:r>
      <w:r>
        <w:rPr>
          <w:rFonts w:ascii="Times New Roman;Times;Serif" w:hAnsi="Times New Roman;Times;Serif"/>
          <w:b w:val="false"/>
          <w:i w:val="false"/>
          <w:caps w:val="false"/>
          <w:smallCaps w:val="false"/>
          <w:sz w:val="20"/>
        </w:rPr>
        <w:t>. Other than with respect to the transactions contemplated herein, since the time that such Purchaser was first contacted by the Company, the Placement Agents or any other Person regarding the transactions contemplated hereby, the Purchaser has not, directly or indirectly, effected or agreed to effect any Short Sales. Other than to other Persons party to this Agreement and to such Purchaser’s representatives (including legal counsel),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Brokers and Finders</w:t>
      </w:r>
      <w:r>
        <w:rPr>
          <w:rFonts w:ascii="Times New Roman;Times;Serif" w:hAnsi="Times New Roman;Times;Serif"/>
          <w:b w:val="false"/>
          <w:i w:val="false"/>
          <w:caps w:val="false"/>
          <w:smallCaps w:val="false"/>
          <w:sz w:val="20"/>
        </w:rPr>
        <w:t>. No Person will have, as a result of the transactions contemplated by this Agreement, any valid right, interest or claim against or upon the Purchaser for any commission, fee or other compensation pursuant to any agreement, arrangement or understanding entered into by or on behalf of the Purchaser. No Purchaser shall have any obligation with respect to any fees, or with respect to any claims made by or on behalf of other Persons for fees, in each case of the type contemplated by this Section 3.2(i) that may be due in connection with the transactions contemplated by this Agreement or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Independent Investment Decision</w:t>
      </w:r>
      <w:r>
        <w:rPr>
          <w:rFonts w:ascii="Times New Roman;Times;Serif" w:hAnsi="Times New Roman;Times;Serif"/>
          <w:b w:val="false"/>
          <w:i w:val="false"/>
          <w:caps w:val="false"/>
          <w:smallCaps w:val="false"/>
          <w:sz w:val="20"/>
        </w:rPr>
        <w:t>. Such Purchaser has independently evaluated the merits of its decision to purchase Securities 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Reliance on Exemptions</w:t>
      </w:r>
      <w:r>
        <w:rPr>
          <w:rFonts w:ascii="Times New Roman;Times;Serif" w:hAnsi="Times New Roman;Times;Serif"/>
          <w:b w:val="false"/>
          <w:i w:val="false"/>
          <w:caps w:val="false"/>
          <w:smallCaps w:val="false"/>
          <w:sz w:val="20"/>
        </w:rPr>
        <w:t>. Such Purchaser understands that the Securities are being offered and sold to it in reliance on specific exemptions from the registration requirements of United States federal and state securities laws and that the Company is relying in part upon the truth and accuracy of, and such Purchaser’s compliance with, the representations, warranties, agreements, acknowledgements and understandings of such Purchaser set forth herein in order to determine the availability of such exemptions and the eligibility of such Purchaser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No Governmental Review</w:t>
      </w:r>
      <w:r>
        <w:rPr>
          <w:rFonts w:ascii="Times New Roman;Times;Serif" w:hAnsi="Times New Roman;Times;Serif"/>
          <w:b w:val="false"/>
          <w:i w:val="false"/>
          <w:caps w:val="false"/>
          <w:smallCaps w:val="false"/>
          <w:sz w:val="20"/>
        </w:rPr>
        <w:t>. Such Purchaser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Regulation M</w:t>
      </w:r>
      <w:r>
        <w:rPr>
          <w:rFonts w:ascii="Times New Roman;Times;Serif" w:hAnsi="Times New Roman;Times;Serif"/>
          <w:b w:val="false"/>
          <w:i w:val="false"/>
          <w:caps w:val="false"/>
          <w:smallCaps w:val="false"/>
          <w:sz w:val="20"/>
        </w:rPr>
        <w:t>. Such Purchaser is aware that the anti-manipulation rules of Regulation M under the Exchange Act may apply to sales of Securities and other activities with respect to the Securities by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Beneficial Ownership</w:t>
      </w:r>
      <w:r>
        <w:rPr>
          <w:rFonts w:ascii="Times New Roman;Times;Serif" w:hAnsi="Times New Roman;Times;Serif"/>
          <w:b w:val="false"/>
          <w:i w:val="false"/>
          <w:caps w:val="false"/>
          <w:smallCaps w:val="false"/>
          <w:sz w:val="20"/>
        </w:rPr>
        <w:t>. The purchase by such Purchaser of the Securities issuable to it at the Closing will not result in such Purchaser (individually or together with any other Person with whom such Purchaser has identified, or will have identified, itself as part of a “group” in a public filing made with the Commission involving the Company’s securities) acquiring, or obtaining the right to acquire, beneficial ownership in excess of 19.999% of the outstanding shares of Common Stock or the voting power of the Company on a post transaction basis that assumes that such Closing shall have occurred. Such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beneficial ownership in excess of 19.999% of the outstanding shares of Common Stock or the voting power of the Company on a post transaction basis that assumes that each Closing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Residency</w:t>
      </w:r>
      <w:r>
        <w:rPr>
          <w:rFonts w:ascii="Times New Roman;Times;Serif" w:hAnsi="Times New Roman;Times;Serif"/>
          <w:b w:val="false"/>
          <w:i w:val="false"/>
          <w:caps w:val="false"/>
          <w:smallCaps w:val="false"/>
          <w:sz w:val="20"/>
        </w:rPr>
        <w:t>. Such Purchaser’s residence (if an individual) or offices in which its investment decision with respect to the Securities was made (if an entity) are located at the address immediately below such Purchaser’s name on its signature page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Purchasers acknowledge and agree that no party to this Agreement has made or makes any representations or warranties with respect to the transactions contemplated hereby other than those specifically set forth in this Article 3 and the Transaction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AGREEMENTS OF THE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Compliance with Laws</w:t>
      </w:r>
      <w:r>
        <w:rPr>
          <w:rFonts w:ascii="Times New Roman;Times;Serif" w:hAnsi="Times New Roman;Times;Serif"/>
          <w:b w:val="false"/>
          <w:i w:val="false"/>
          <w:caps w:val="false"/>
          <w:smallCaps w:val="false"/>
          <w:sz w:val="20"/>
        </w:rPr>
        <w:t>. Notwithstanding any other provision of this Article 4, each Purchaser covenants that the Securities and Conversion Shares may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In connection with any transfer of the Securities other than (i) pursuant to an effective registration statement, (ii) to the Company, (iii) pursuant to Rule 144 (provided that the Purchaser provides the Company with reasonable assurances (in the form of seller and, if applicable, broker representation letters) that the securities may be sold pursuant to such rule) or (iv) in connection with a bona fide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or Conversion Shares under the Securities Act. As a condition of transfer, any such transferee shall agree in writing to be bound by the terms of this Agreement and the Registration Rights Agreement and shall have the rights of a Purchaser under this Agreement and the Registration Rights Agreement with respect to such transferred Securities or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Legends</w:t>
      </w:r>
      <w:r>
        <w:rPr>
          <w:rFonts w:ascii="Times New Roman;Times;Serif" w:hAnsi="Times New Roman;Times;Serif"/>
          <w:b w:val="false"/>
          <w:i w:val="false"/>
          <w:caps w:val="false"/>
          <w:smallCaps w:val="false"/>
          <w:sz w:val="20"/>
        </w:rPr>
        <w:t>. Certificates and book-entry statements evidencing the Securities and any Conversion Shares shall bear, any legend as required by the “blue sky” laws of any state and a restrictive legend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THE SHARES OF COMMON STOCK ISSUABLE UPON THE CONVERSION OF THE SECURITIES REPRESENTED BY THIS CERTIFICATE HAVE NOT BEEN REGISTERED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OR APPLICABLE STATE SECURITIES LAWS. THE SECURITIES MAY NOT BE OFFERED FOR SALE, SOLD, TRANSFERRED OR ASSIGNED (I) IN THE ABSENCE OF (A) AN EFFECTIVE REGISTRATION STATEMENT FOR THE SECURITIES UNDER THE SECURITIES ACT OR (B) AN AVAILABLE EXEMPTION FROM, OR IN A TRANSACTION NOT SUBJECT TO, THE REGISTRATION REQUIREMENTS OF THE SECURITIES ACT, AS EVIDENCED BY A LEGAL OPINION OF COUNSEL REASONABLY SATISFACTORY TO THE COMPANY AND ITS TRANSFER AGENT, AND IN ACCORDANCE WITH APPLICABLE STATE SECURITIES LAWS OR BLUE SKY LAWS OR (II) UNLESS SOLD PURSUANT TO RULE 144 UNDER THE SECURITIES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and/or grant a security interest in, some or all of the legended Securities in connection with applicable securities laws, pursuant to a bona fide margin agreement in compliance with a bona fide margin loan. Such a pledge would not be subject to approval or consent of the Company and no legal opinion of legal counsel to the pledgee, secured party or pledgor shall be required in connection with the pledge, but such legal opinion shall be required in connection with a subsequent transfer or foreclosure following default by the Purchaser transferee of the pledge. No notice shall be required of such pledge, but Purchaser’s transferee shall promptly notify the Company of any such subsequent transfer or foreclosure. Each Purchaser acknowledges that the Company shall not be responsible for any pledges relating to, or the grant of any security interest in, any of the Securities or for any agreement, understanding or arrangement between any Purchaser and its pledgee or secured party. At the appropriate Purchaser’s expense, the Company will execute and deliver such reasonable documentation as a pledgee or secured party of Securities may reasonably request in connection with a pledge or transfer of the Securities, including the preparation and filing of any required prospectus supplement under Rule 424(b)(3) of the Securities Act or other applicable provision of the Securities Act to appropriately amend the list of selling stockholders thereunder. Each Purchaser acknowledges and agrees that, except as otherwise provided in Section 4.1(c), any Securities subject to a pledge or security interest as contemplated by this Section 4.1(b) shall continue to bear the legend set forth in this Section 4.1(b) and be subject to the restrictions on transfer set forth in Section 4.1(a).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Removal of Legends</w:t>
      </w:r>
      <w:r>
        <w:rPr>
          <w:rFonts w:ascii="Times New Roman;Times;Serif" w:hAnsi="Times New Roman;Times;Serif"/>
          <w:b w:val="false"/>
          <w:i w:val="false"/>
          <w:caps w:val="false"/>
          <w:smallCaps w:val="false"/>
          <w:sz w:val="20"/>
        </w:rPr>
        <w:t>. Once a Registration Statement covering the resale of the Conversion Shares is declared effective, the Company shall, as contemplated by the Irrevocable Transfer Agent Instructions, instruct the Transfer Agent to remove all restrictive legends, including the legend set forth in Section 4.1(b) above (or, in the event that Conversion Shares are issued upon conversion after the Registration Statement is declared effective, the Conversion Shares shall be issued without restrictive legends). Further, the Company shall instruct the Transfer Agent to remove all restrictive legends, including the legend set forth in Section 4.1(b) above, (i) following any sale of such Securities or Conversion Shares pursuant to Rule 144 or any other applicable exemption from the registration requirements of the Securities Act, or (ii) if such Conversion Shares are eligible for resale under Rule 144(b)(1) or any successor provision (or, in the event that Conversion Shares are issued upon conversion after the conditions set forth in clauses (i) and (ii) above, the Conversion Shares shall be issued without restrictive legends). Without limiting the foregoing, upon request of the Purchaser, upon receipt by the Company of an opinion of counsel reasonably satisfactory to the Company to the effect that such legend is no longer required under the Securities Act, the Company shall within the earlier of (i) one Business Day and (ii) the Standard Settlement Period, in each case, of the date set forth in the immediately preceding clauses (i) and (ii), cause the legend to be removed from any certificate for any Conversion Shares in accordance with the terms of this Agreement and deliver, or cause to be delivered, to any Purchaser new certificate(s) (or electronic book-entry statements) representing the Conversion Shares that are free from all restrictive and other legends or, at the request of such Purchaser, via DWAC transfer to such Purchaser’s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Irrevocable Transfer Agent Instructions</w:t>
      </w:r>
      <w:r>
        <w:rPr>
          <w:rFonts w:ascii="Times New Roman;Times;Serif" w:hAnsi="Times New Roman;Times;Serif"/>
          <w:b w:val="false"/>
          <w:i w:val="false"/>
          <w:caps w:val="false"/>
          <w:smallCaps w:val="false"/>
          <w:sz w:val="20"/>
        </w:rPr>
        <w:t>. The Company shall issue the Irrevocable Transfer Agent Instructions. The Company represents and warrants that no instruction other than the Irrevocable Transfer Agent Instructions referred to in this Section 4.1(d) (or instructions that are consistent therewith) will be given by the Company to its Transfer Agent in connection with this Agreement, and that the Securities and Conversion Shares shall otherwise be freely transferable on the books and records of the Company as and to the extent provided in this Agreement and the other Transaction Documents and applicable law. The Company acknowledges that a breach by it of its obligations under this Section 4.1(d) will cause irreparable harm to a Purchaser. Accordingly, the Company acknowledges that the remedy at law for a breach of its obligations under this Section 4.1(d) may be inadequate and agrees, in the event of a breach or threatened breach by the Company of the provisions of this Section 4.1(d), that a Purchaser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Acknowledgement</w:t>
      </w:r>
      <w:r>
        <w:rPr>
          <w:rFonts w:ascii="Times New Roman;Times;Serif" w:hAnsi="Times New Roman;Times;Serif"/>
          <w:b w:val="false"/>
          <w:i w:val="false"/>
          <w:caps w:val="false"/>
          <w:smallCaps w:val="false"/>
          <w:sz w:val="20"/>
        </w:rPr>
        <w:t>. Each Purchaser hereunder acknowledges its primary responsibilities under the Securities Act and accordingly will not sell or otherwise transfer the Securities or Conversion Shares or any interest therein without complying with the requirements of the Securities Act. While the Registration Statement remains effective, each Purchaser hereunder may elect to sell the Conversion Shares in accordance with the plan of distribution contained in the Registration Statement and, if it does so, it will comply therewith and with the related prospectus delivery requirements unless an exemption therefrom is available. Nothing herein shall prohibit a Purchaser from selling Conversion Shares pursuant to an available exemption from the registration requirements of Section 5 of the Securities Act. Both the Company and its Transfer Agent, and their respective directors, officers, employees and agents, may rely on this Section 4.1(e) and each Purchaser hereunder will indemnify and hold harmless each of such persons from any breaches or violations of this Section 4.1(e).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Furnishing of Information</w:t>
      </w:r>
      <w:r>
        <w:rPr>
          <w:rFonts w:ascii="Times New Roman;Times;Serif" w:hAnsi="Times New Roman;Times;Serif"/>
          <w:b w:val="false"/>
          <w:i w:val="false"/>
          <w:caps w:val="false"/>
          <w:smallCaps w:val="false"/>
          <w:sz w:val="20"/>
        </w:rPr>
        <w:t>. In order to enable the Purchasers to sell the Securities under Rule 144, until such time as Purchaser may sell the Securities and Conversion Shares without limitation under Rule 144, the Company shall use its commercially reasonable efforts to timely file (or obtain extensions in respect thereof and file within the applicable grace period) all reports required to be filed by the Company after the date hereof pursuant to the Exchange Act and, if during such period, the Company is not required to file reports pursuant to the Exchange Act, it will prepare and furnish to the Purchasers and make publicly available in accordance with Rule 144(c) such information as is required for the Purchasers to sell the Securities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Integration</w:t>
      </w:r>
      <w:r>
        <w:rPr>
          <w:rFonts w:ascii="Times New Roman;Times;Serif" w:hAnsi="Times New Roman;Times;Serif"/>
          <w:b w:val="false"/>
          <w:i w:val="false"/>
          <w:caps w:val="false"/>
          <w:smallCaps w:val="false"/>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Purchasers, or that will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Section 4.3 shall not limit the Company’s right to issue shares of capital stock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Securities Laws Disclosure; Publicity</w:t>
      </w:r>
      <w:r>
        <w:rPr>
          <w:rFonts w:ascii="Times New Roman;Times;Serif" w:hAnsi="Times New Roman;Times;Serif"/>
          <w:b w:val="false"/>
          <w:i w:val="false"/>
          <w:caps w:val="false"/>
          <w:smallCaps w:val="false"/>
          <w:sz w:val="20"/>
        </w:rPr>
        <w:t>. By 9:00 A.M., New York City time, on the Trading Day immediately following the date hereof (provided that, if this Agreement is executed between midnight and 9:00 a.m., New York City time on any Business Day, no later than 9:01 a.m. on the date hereof) (the “</w:t>
      </w:r>
      <w:r>
        <w:rPr>
          <w:rFonts w:ascii="Times New Roman;Times;Serif" w:hAnsi="Times New Roman;Times;Serif"/>
          <w:b/>
          <w:i/>
          <w:caps w:val="false"/>
          <w:smallCaps w:val="false"/>
          <w:sz w:val="20"/>
        </w:rPr>
        <w:t>Disclosure Time</w:t>
      </w:r>
      <w:r>
        <w:rPr>
          <w:rFonts w:ascii="Times New Roman;Times;Serif" w:hAnsi="Times New Roman;Times;Serif"/>
          <w:b w:val="false"/>
          <w:i w:val="false"/>
          <w:caps w:val="false"/>
          <w:smallCaps w:val="false"/>
          <w:sz w:val="20"/>
        </w:rPr>
        <w:t>”), the Company shall issue a press release (the “</w:t>
      </w:r>
      <w:r>
        <w:rPr>
          <w:rFonts w:ascii="Times New Roman;Times;Serif" w:hAnsi="Times New Roman;Times;Serif"/>
          <w:b/>
          <w:i/>
          <w:caps w:val="false"/>
          <w:smallCaps w:val="false"/>
          <w:sz w:val="20"/>
        </w:rPr>
        <w:t>Press Release</w:t>
      </w:r>
      <w:r>
        <w:rPr>
          <w:rFonts w:ascii="Times New Roman;Times;Serif" w:hAnsi="Times New Roman;Times;Serif"/>
          <w:b w:val="false"/>
          <w:i w:val="false"/>
          <w:caps w:val="false"/>
          <w:smallCaps w:val="false"/>
          <w:sz w:val="20"/>
        </w:rPr>
        <w:t>”) reasonably acceptable to the Placement Agents disclosing all material terms of the transactions contemplated hereby and the Merger Agreement, as well as any other material non-public information disclosed to the Purchasers prior to the Disclosure Time. On or before 9:00 A.M., New York City time, on the second (2nd) Trading Day immediately following the execution of this Agreement, the Company will file a Current Report on Form 8-K with the Commission describing the terms of the Transaction Documents (and including as exhibits to such Current Report on Form 8-K the material Transaction Documents (including, without limitation, forms of this Agreement and the Registration Rights Agreement)) and the Merger Agreement. Notwithstanding the foregoing, the Company shall not publicly disclose the name of any Purchaser or investment adviser of any Purchaser, or include the name of any Purchaser or an Affiliate of any Purchaser in any press release or filing with the Commission (other than the Registration Statement) or any regulatory agency or Trading Market, without the prior written consent of such Purchaser, except (i) as required by U.S. federal securities law in connection with (A) any registration statement contemplated by the Registration Rights Agreement or (B) the filing of final Transaction Documents (including signature pages thereto) with the Commission and (ii) to the extent such disclosure is required by law, request of the Commission’s staff or Trading Market regulations, in which case the Company shall provide the Purchasers with prior written notice of such disclosure permitted under this subclause (ii) and reasonably cooperate with such Purchaser regarding such permitted disclosure. From and after the issuance of the Press Release, no Purchaser shall be in possession of any material, non-public information received from the Company, Kira, any of their respective Subsidiaries or any of their respective officers, directors, employees, affiliates or agents, including the Placement Agents. In addition, effective on the earlier of (i) the Disclosure Time and (ii) the issuance of the Press Release, the Company acknowledges and agrees that any and all confidentiality or similar obligations under any agreement, whether written or oral, between the Company, Kira, any of their respective Subsidiaries or any of their respective officers, directors, affiliates, employees or agents, including the Placement Agents, on the one hand, and any of the Purchasers or any of their affiliates, on the other hand, shall terminate and be of no further force or effect. The Company shall not, and shall cause each of Kira, Kira’s and its Subsidiaries and each of their respective affiliates, officers, directors, employees and agents, including the Placement Agents not to, provide any Purchaser with any material, nonpublic information from and after the date hereof without the express prior written consent of such Purchaser. The Company understands and confirms that the Purchasers will rely on the foregoing representation in effecting securities transactions. Each Purchaser, severally and not jointly with the other Purchasers, covenants that until the earliest of (i) the Disclosure Time, (ii) such time as the transactions contemplated by this Agreement are required to be publicly disclosed by the Company as described in this Section 4.4, and (iii) the earlier termination of this Agreement, other than to such Purchaser’s representatives (including legal counsel), such Purchaser will maintain the confidentiality of all disclosures made to it in connection with this transaction (including the existence and terms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i/>
          <w:caps w:val="false"/>
          <w:smallCaps w:val="false"/>
          <w:sz w:val="20"/>
        </w:rPr>
        <w:t>Acquiring Person</w:t>
      </w:r>
      <w:r>
        <w:rPr>
          <w:rFonts w:ascii="Times New Roman;Times;Serif" w:hAnsi="Times New Roman;Times;Serif"/>
          <w:b w:val="false"/>
          <w:i w:val="false"/>
          <w:caps w:val="false"/>
          <w:smallCaps w:val="false"/>
          <w:sz w:val="20"/>
        </w:rPr>
        <w:t xml:space="preserve">” under any control share acquisition, business combination, poison pill (including any distribution under a rights agreement) or similar anti-takeover plan or arrangement or law (including Section 203 of the General Corporation Law of the State of Delaware) in effect or hereafter adopted by the Company, or that any Purchaser could be deemed to trigger the provisions of any such plan or arrangement, in either case solely by virtue of receiving Securities or Conversion Shares under the Transaction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Purchaser owns any equity in the Company prior to its purchase of the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including this Agreement, or as expressly required by any applicable securities law, the Company covenants and agrees that neither it, nor any other Person acting on its behalf, will provide any Purchaser or its agents or counsel with any information regarding the Company that the Company believes constitutes material non-public information without the express written consent of such Purchaser, unless prior thereto such Purchaser shall have executed a written agreement regarding the confidentiality and use of such information.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4.7 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 Principal Trading Market Listing</w:t>
      </w:r>
      <w:r>
        <w:rPr>
          <w:rFonts w:ascii="Times New Roman;Times;Serif" w:hAnsi="Times New Roman;Times;Serif"/>
          <w:b w:val="false"/>
          <w:i w:val="false"/>
          <w:caps w:val="false"/>
          <w:smallCaps w:val="false"/>
          <w:sz w:val="20"/>
        </w:rPr>
        <w:t>. The Company shall prepare and file with the Principal Trading Market a Notification Form: Listing of Additional Shares for the listing of the Securities and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4.9 Form D; Blue Sky</w:t>
      </w:r>
      <w:r>
        <w:rPr>
          <w:rFonts w:ascii="Times New Roman;Times;Serif" w:hAnsi="Times New Roman;Times;Serif"/>
          <w:b w:val="false"/>
          <w:i w:val="false"/>
          <w:caps w:val="false"/>
          <w:smallCaps w:val="false"/>
          <w:sz w:val="20"/>
        </w:rPr>
        <w:t>. The Company agrees to timely file a Form D with respect to the Securities as required under Regulation D and to provide a copy thereof, promptly upon the written request of any Purchaser. The Company, on or before the Closing Date, shall take such action as the Company shall reasonably determine is necessary in order to obtain an exemption for or to qualify the Securities for sale to the Purchasers under applicable securities or “</w:t>
      </w:r>
      <w:r>
        <w:rPr>
          <w:rFonts w:ascii="Times New Roman;Times;Serif" w:hAnsi="Times New Roman;Times;Serif"/>
          <w:b/>
          <w:i/>
          <w:caps w:val="false"/>
          <w:smallCaps w:val="false"/>
          <w:sz w:val="20"/>
        </w:rPr>
        <w:t>Blue Sky</w:t>
      </w:r>
      <w:r>
        <w:rPr>
          <w:rFonts w:ascii="Times New Roman;Times;Serif" w:hAnsi="Times New Roman;Times;Serif"/>
          <w:b w:val="false"/>
          <w:i w:val="false"/>
          <w:caps w:val="false"/>
          <w:smallCaps w:val="false"/>
          <w:sz w:val="20"/>
        </w:rPr>
        <w:t>” laws of the states of the United States (or to obtain an exemption from such qualification) and shall provide evidence of such actions promptly upon the written request of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4.10 Short Sales After the Date Hereof</w:t>
      </w:r>
      <w:r>
        <w:rPr>
          <w:rFonts w:ascii="Times New Roman;Times;Serif" w:hAnsi="Times New Roman;Times;Serif"/>
          <w:b w:val="false"/>
          <w:i w:val="false"/>
          <w:caps w:val="false"/>
          <w:smallCaps w:val="false"/>
          <w:sz w:val="20"/>
        </w:rPr>
        <w:t>. Such Purchaser shall not engage, directly or indirectly, in any transactions in the Company’s securities (including, without limitation, any Short Sales involving the Company’s securities) during the period from the date hereof until the earlier of such time as (i) the transactions contemplated by this Agreement are first publicly announced as required by and described in Section 4.4 or (ii) this Agreement is terminated in full pursuant to Section 6.18.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 Requisite Stockholder Approval</w:t>
      </w:r>
      <w:r>
        <w:rPr>
          <w:rFonts w:ascii="Times New Roman;Times;Serif" w:hAnsi="Times New Roman;Times;Serif"/>
          <w:b w:val="false"/>
          <w:i w:val="false"/>
          <w:caps w:val="false"/>
          <w:smallCaps w:val="false"/>
          <w:sz w:val="20"/>
        </w:rPr>
        <w:t>. The Company shall take all actions reasonably necessary to hold a special meeting of stockholders (a “</w:t>
      </w:r>
      <w:r>
        <w:rPr>
          <w:rFonts w:ascii="Times New Roman;Times;Serif" w:hAnsi="Times New Roman;Times;Serif"/>
          <w:b/>
          <w:i/>
          <w:caps w:val="false"/>
          <w:smallCaps w:val="false"/>
          <w:sz w:val="20"/>
        </w:rPr>
        <w:t>Stockholder Meeting</w:t>
      </w:r>
      <w:r>
        <w:rPr>
          <w:rFonts w:ascii="Times New Roman;Times;Serif" w:hAnsi="Times New Roman;Times;Serif"/>
          <w:b w:val="false"/>
          <w:i w:val="false"/>
          <w:caps w:val="false"/>
          <w:smallCaps w:val="false"/>
          <w:sz w:val="20"/>
        </w:rPr>
        <w:t>”) within 120 days from the Closing (the “</w:t>
      </w:r>
      <w:r>
        <w:rPr>
          <w:rFonts w:ascii="Times New Roman;Times;Serif" w:hAnsi="Times New Roman;Times;Serif"/>
          <w:b/>
          <w:i/>
          <w:caps w:val="false"/>
          <w:smallCaps w:val="false"/>
          <w:sz w:val="20"/>
        </w:rPr>
        <w:t>Stockholder Meeting Deadline</w:t>
      </w:r>
      <w:r>
        <w:rPr>
          <w:rFonts w:ascii="Times New Roman;Times;Serif" w:hAnsi="Times New Roman;Times;Serif"/>
          <w:b w:val="false"/>
          <w:i w:val="false"/>
          <w:caps w:val="false"/>
          <w:smallCaps w:val="false"/>
          <w:sz w:val="20"/>
        </w:rPr>
        <w:t>”) for the purpose of obtaining stockholder approval of (i) the conversion of all issued and outstanding Preferred Stock into shares of Common Stock in accordance with the rules of the Nasdaq and (ii) an amendment to the Certificate of Incorporation to increase the number of authorized shares of Common Stock by an amount sufficient to permit the conversion of all outstanding Preferred Stock as of the date of such approval (the “</w:t>
      </w:r>
      <w:r>
        <w:rPr>
          <w:rFonts w:ascii="Times New Roman;Times;Serif" w:hAnsi="Times New Roman;Times;Serif"/>
          <w:b/>
          <w:i/>
          <w:caps w:val="false"/>
          <w:smallCaps w:val="false"/>
          <w:sz w:val="20"/>
        </w:rPr>
        <w:t>Requisite Stockholder Approval</w:t>
      </w:r>
      <w:r>
        <w:rPr>
          <w:rFonts w:ascii="Times New Roman;Times;Serif" w:hAnsi="Times New Roman;Times;Serif"/>
          <w:b w:val="false"/>
          <w:i w:val="false"/>
          <w:caps w:val="false"/>
          <w:smallCaps w:val="false"/>
          <w:sz w:val="20"/>
        </w:rPr>
        <w:t>”). The Company shall use its best efforts to solicit its stockholders’ approval of such resolution and to cause the Board of Directors to recommend to the stockholders that they approve such resolution. If the Requisite Stockholder Approval is not obtained on or prior to the Stockholder Meeting Deadline, the Company shall use its reasonable best efforts to obtain such approvals as soon as practicable thereafter, and in any event to obtain such approvals at the next occurring annual meeting of the stockholders of the Company or, if such annual meeting is not scheduled to be held within six months after the Stockholders Meeting, a special meeting of the stockholders of the Company to be held within six months after the Stockholders Meeting (the “</w:t>
      </w:r>
      <w:r>
        <w:rPr>
          <w:rFonts w:ascii="Times New Roman;Times;Serif" w:hAnsi="Times New Roman;Times;Serif"/>
          <w:b/>
          <w:i/>
          <w:caps w:val="false"/>
          <w:smallCaps w:val="false"/>
          <w:sz w:val="20"/>
        </w:rPr>
        <w:t>Extended Stockholder Approval Period</w:t>
      </w:r>
      <w:r>
        <w:rPr>
          <w:rFonts w:ascii="Times New Roman;Times;Serif" w:hAnsi="Times New Roman;Times;Serif"/>
          <w:b w:val="false"/>
          <w:i w:val="false"/>
          <w:caps w:val="false"/>
          <w:smallCaps w:val="false"/>
          <w:sz w:val="20"/>
        </w:rPr>
        <w:t>”). If the Requisite Stockholder Approval is not obtained within the Extended Stockholder Approval Period, then the Company shall convene additional stockholder meetings every 90 days thereafter until the Requisite Stockholder Approval is obtained. The Company shall enforce the terms of each Support Agreement (as defined in the Merger Agreement), and shall not amend or waive any provision of any Support Agreement without the prior written consent of the Purchasers of at least a majority in interest of the Securities still held by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4.12 Conversion and Exercise Procedures</w:t>
      </w:r>
      <w:r>
        <w:rPr>
          <w:rFonts w:ascii="Times New Roman;Times;Serif" w:hAnsi="Times New Roman;Times;Serif"/>
          <w:b w:val="false"/>
          <w:i w:val="false"/>
          <w:caps w:val="false"/>
          <w:smallCaps w:val="false"/>
          <w:sz w:val="20"/>
        </w:rPr>
        <w:t>. The form of Notice of Conversion included in the Certificate of Designation sets forth the totality of the procedures required of the Purchasers in order to convert the Securities. Without limiting the preceding sentence, no ink-original Notice of Conversion shall be required, nor shall any medallion guarantee (or other type of guarantee or notarization) of any Notice of Conversion form be required in order for the registered holder thereof to convert the Securities. No additional legal opinion, other information or instructions shall be required of a Purchaser to convert its Securities. The Company shall honor conversions of the Securities and shall deliver Conversion Shares in accordance with the terms, conditions and time periods set forth in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4.13 Lock-Up Agreements</w:t>
      </w:r>
      <w:r>
        <w:rPr>
          <w:rFonts w:ascii="Times New Roman;Times;Serif" w:hAnsi="Times New Roman;Times;Serif"/>
          <w:b w:val="false"/>
          <w:i w:val="false"/>
          <w:caps w:val="false"/>
          <w:smallCaps w:val="false"/>
          <w:sz w:val="20"/>
        </w:rPr>
        <w:t>. The Company shall not consent or agree to amend, alter, waive or otherwise modify the terms of any of the Lock-Up Agreements (as defined in the Merger Agreement) without the consent of Piper Sandler.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4.14 Indemnification of Purchasers.</w:t>
      </w:r>
      <w:r>
        <w:rPr>
          <w:rFonts w:ascii="Times New Roman;Times;Serif" w:hAnsi="Times New Roman;Times;Serif"/>
          <w:b w:val="false"/>
          <w:i w:val="false"/>
          <w:caps w:val="false"/>
          <w:smallCaps w:val="false"/>
          <w:sz w:val="20"/>
        </w:rPr>
        <w:t xml:space="preserve"> Subject to the provisions of this Section 4.14, the Company will indemnify and hold each Purchaser and its directors, officers, shareholders, members, partners, employees, investment advisers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advisers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i/>
          <w:caps w:val="false"/>
          <w:smallCaps w:val="false"/>
          <w:sz w:val="20"/>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(i) any breach of any of the representations, warranties, covenants or agreements made by the Company in this Agreement or in the other Transaction Documents or (ii) any Action instituted against a Purchaser in any capacity, or any Purchaser Party, by any stockholder of the Company who is not an Affiliate of such Purchaser seeking indemnification, with respect to any of the transactions contemplated by the Transaction Documents (unless such Action is based upon a breach of such Purchaser’s representations, warranties or covenants under the Transaction Documents or any other agreement with the Company, or any agreements or understandings such Purchaser may have with any such stockholder or any violations by the Purchaser of state or federal securities laws or any conduct by such Purchaser which constitutes fraud, gross negligence, willful misconduct or malfeasance). Promptly after receipt by any such Person (the “</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of notice of any demand, claim or circumstances which would or might give rise to a claim or the commencement of any Proceeding or investigation in respect of which indemnity may be sought pursuant to this Section 4.14, such Indemnified Person shall promptly notify the Company in writing and the Company shall assume the defense thereof, including the employment of counsel reasonably satisfactory to such Indemnified Person, and shall assume the payment of all fees and expenses relating to such Proceeding or investigation; provided, however, that the failure of any Indemnified Person so to notify the Company shall not relieve the Company of its obligations hereunder except to the extent that the Company is actually and materially prejudiced by such failure to notify. In any such proceeding, any Indemnified Person shall have the right to retain its own counsel, but the fees and expenses of such counsel shall be at the expense of such Indemnified Person unless: (i) the Company and the Indemnified Person shall have mutually agreed to the retention of such counsel; (ii) the Company shall have failed promptly to assume the defense of such proceeding and to employ counsel reasonably satisfactory to such Indemnified Person in such proceeding; or (iii) in the reasonable judgment of counsel to such Indemnified Person, representation of both parties by the same counsel would be inappropriate due to actual or potential differing interests between them. The Company shall not be liable for any settlement of any proceeding effected without its prior written consent, which consent shall not be unreasonably withheld, delayed or conditioned or to the extent fees or costs incurred pursuant to this Section 4.14 are attributable to the Indemnified Person’s breach of any of the representations, warranties, covenants or agreements made by the Purchasers in this Agreement or the other Transaction Documents. Without the prior written consent of the Indemnified Person, which consent shall not be unreasonably withheld, delayed or conditioned, the Company shall not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arising out of such proceeding.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CONDITIONS PRECEDENT TO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Conditions Precedent to the Obligations of the Purchasers to Purchase Securities</w:t>
      </w:r>
      <w:r>
        <w:rPr>
          <w:rFonts w:ascii="Times New Roman;Times;Serif" w:hAnsi="Times New Roman;Times;Serif"/>
          <w:b w:val="false"/>
          <w:i w:val="false"/>
          <w:caps w:val="false"/>
          <w:smallCaps w:val="false"/>
          <w:sz w:val="20"/>
        </w:rPr>
        <w:t>. The obligation of each Purchaser to acquire Securities at the Closing is subject to the fulfillment to such Purchaser’s satisfaction, on or prior to the Closing Date, of each of the following conditions, any of which may be waived by such Purchaser (as to itself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such representations and warranties that speak as of a specific date, which shall be true and correct in all material respects (except for those representations and warranties which are qualified as to materiality, which representations and warranties shall be true and correct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Performance</w:t>
      </w:r>
      <w:r>
        <w:rPr>
          <w:rFonts w:ascii="Times New Roman;Times;Serif" w:hAnsi="Times New Roman;Times;Serif"/>
          <w:b w:val="false"/>
          <w:i w:val="false"/>
          <w:caps w:val="false"/>
          <w:smallCaps w:val="false"/>
          <w:sz w:val="20"/>
        </w:rPr>
        <w:t>. The Company shall have performed, satisfied and complied in all material respects with all covenants, agreements and conditions required by the Transaction Documents to be performed, satisfied or complied with by it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Consents</w:t>
      </w:r>
      <w:r>
        <w:rPr>
          <w:rFonts w:ascii="Times New Roman;Times;Serif" w:hAnsi="Times New Roman;Times;Serif"/>
          <w:b w:val="false"/>
          <w:i w:val="false"/>
          <w:caps w:val="false"/>
          <w:smallCaps w:val="false"/>
          <w:sz w:val="20"/>
        </w:rPr>
        <w:t>. The Company shall have obtained in a timely fashion any and all consents, permits, approvals, registrations and waivers necessary for consummation of the purchase and sale of the Securities (except for the Requisite Stockholder Approval), all of which shall be and remain so long as necessary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Adverse Changes</w:t>
      </w:r>
      <w:r>
        <w:rPr>
          <w:rFonts w:ascii="Times New Roman;Times;Serif" w:hAnsi="Times New Roman;Times;Serif"/>
          <w:b w:val="false"/>
          <w:i w:val="false"/>
          <w:caps w:val="false"/>
          <w:smallCaps w:val="false"/>
          <w:sz w:val="20"/>
        </w:rPr>
        <w:t>. Since the date of execution of this Agreement, no event or series of events shall have occurred that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No Suspensions of Trading in Common Stock</w:t>
      </w:r>
      <w:r>
        <w:rPr>
          <w:rFonts w:ascii="Times New Roman;Times;Serif" w:hAnsi="Times New Roman;Times;Serif"/>
          <w:b w:val="false"/>
          <w:i w:val="false"/>
          <w:caps w:val="false"/>
          <w:smallCaps w:val="false"/>
          <w:sz w:val="20"/>
        </w:rPr>
        <w:t>. The Common Stock shall not have been suspended, as of the Closing Date, by the Commission or the Principal Trading Market from trading on the Principal Trading Market nor shall suspension by the Commission or the Principal Trading Market have been threatened, as of the Closing Date, either (A) in writing by the Commission or the Principal Trading Market or (B) by falling below the minimum listing maintenance requirements of the Principal Trading Market, in each case other than as reported on the Company’s Current Report on Form 8-K filed with the SEC on 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Company Deliverables</w:t>
      </w:r>
      <w:r>
        <w:rPr>
          <w:rFonts w:ascii="Times New Roman;Times;Serif" w:hAnsi="Times New Roman;Times;Serif"/>
          <w:b w:val="false"/>
          <w:i w:val="false"/>
          <w:caps w:val="false"/>
          <w:smallCaps w:val="false"/>
          <w:sz w:val="20"/>
        </w:rPr>
        <w:t>. The Company shall have delivered the Company Deliverables in accordance with Section 2.3(a).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Compliance Certificate</w:t>
      </w:r>
      <w:r>
        <w:rPr>
          <w:rFonts w:ascii="Times New Roman;Times;Serif" w:hAnsi="Times New Roman;Times;Serif"/>
          <w:b w:val="false"/>
          <w:i w:val="false"/>
          <w:caps w:val="false"/>
          <w:smallCaps w:val="false"/>
          <w:sz w:val="20"/>
        </w:rPr>
        <w:t xml:space="preserve">. The Company shall have delivered to each Purchaser a certificate, dated as of the Closing Date and signed by its Chief Executive Officer, its Chief Financial Officer or its Secretary, dated as of the Closing Date, certifying to the fulfillment of the conditions specified in Sections 5.1(a) and (b) in the form attached hereto as </w:t>
      </w:r>
      <w:r>
        <w:rPr>
          <w:rFonts w:ascii="Times New Roman;Times;Serif" w:hAnsi="Times New Roman;Times;Serif"/>
          <w:b/>
          <w:i w:val="false"/>
          <w:caps w:val="false"/>
          <w:smallCaps w:val="false"/>
          <w:sz w:val="20"/>
        </w:rPr>
        <w:t>Exhibit 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Merger Agreement</w:t>
      </w:r>
      <w:r>
        <w:rPr>
          <w:rFonts w:ascii="Times New Roman;Times;Serif" w:hAnsi="Times New Roman;Times;Serif"/>
          <w:b w:val="false"/>
          <w:i w:val="false"/>
          <w:caps w:val="false"/>
          <w:smallCaps w:val="false"/>
          <w:sz w:val="20"/>
        </w:rPr>
        <w:t>. No amendments, modifications or waivers to the terms of the Merger Agreement (as it exists on the date hereof as provided to such Purchaser) in a manner that would reasonably be expected to materially and adversely affect the economic benefits that such Purchaser would reasonably expect to receive under this Agreement (unless such Purchaser has provided its written consent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Merger</w:t>
      </w:r>
      <w:r>
        <w:rPr>
          <w:rFonts w:ascii="Times New Roman;Times;Serif" w:hAnsi="Times New Roman;Times;Serif"/>
          <w:b w:val="false"/>
          <w:i w:val="false"/>
          <w:caps w:val="false"/>
          <w:smallCaps w:val="false"/>
          <w:sz w:val="20"/>
        </w:rPr>
        <w:t>. The Merger shall have been consummated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Termination</w:t>
      </w:r>
      <w:r>
        <w:rPr>
          <w:rFonts w:ascii="Times New Roman;Times;Serif" w:hAnsi="Times New Roman;Times;Serif"/>
          <w:b w:val="false"/>
          <w:i w:val="false"/>
          <w:caps w:val="false"/>
          <w:smallCaps w:val="false"/>
          <w:sz w:val="20"/>
        </w:rPr>
        <w:t>. This Agreement shall not have been terminated as to such Purchaser in accordance with Section 6.18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Conditions Precedent to the Obligations of the Company to issue Securities</w:t>
      </w:r>
      <w:r>
        <w:rPr>
          <w:rFonts w:ascii="Times New Roman;Times;Serif" w:hAnsi="Times New Roman;Times;Serif"/>
          <w:b w:val="false"/>
          <w:i w:val="false"/>
          <w:caps w:val="false"/>
          <w:smallCaps w:val="false"/>
          <w:sz w:val="20"/>
        </w:rPr>
        <w:t>. The Company’s obligation to issue the Securities at the Closing to each Purchaser is subject to the fulfillment to the satisfaction of the Company on or prior to the Closing Date of the following conditions, any of which may be waived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Representations and Warranties</w:t>
      </w:r>
      <w:r>
        <w:rPr>
          <w:rFonts w:ascii="Times New Roman;Times;Serif" w:hAnsi="Times New Roman;Times;Serif"/>
          <w:b w:val="false"/>
          <w:i w:val="false"/>
          <w:caps w:val="false"/>
          <w:smallCaps w:val="false"/>
          <w:sz w:val="20"/>
        </w:rPr>
        <w:t>. The representations and warranties made by each Purchaser in Section 3.2 hereof shall be true and 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representations and warranties that speak as of a specific date, which shall be true and correct in all material respects (except for those representations and warranties which are qualified as to materiality, which representations and warranties shall be true and correct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Performance</w:t>
      </w:r>
      <w:r>
        <w:rPr>
          <w:rFonts w:ascii="Times New Roman;Times;Serif" w:hAnsi="Times New Roman;Times;Serif"/>
          <w:b w:val="false"/>
          <w:i w:val="false"/>
          <w:caps w:val="false"/>
          <w:smallCaps w:val="false"/>
          <w:sz w:val="20"/>
        </w:rPr>
        <w:t>. Such Purchaser shall have performed, satisfied and complied in all material respects with all covenants, agreements and conditions required by the Transaction Documents to be performed, satisfied or complied with by such Purchaser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Purchasers Deliverables</w:t>
      </w:r>
      <w:r>
        <w:rPr>
          <w:rFonts w:ascii="Times New Roman;Times;Serif" w:hAnsi="Times New Roman;Times;Serif"/>
          <w:b w:val="false"/>
          <w:i w:val="false"/>
          <w:caps w:val="false"/>
          <w:smallCaps w:val="false"/>
          <w:sz w:val="20"/>
        </w:rPr>
        <w:t>. Such Purchaser shall have delivered its Purchaser Deliverables in accordance with Section 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Merger</w:t>
      </w:r>
      <w:r>
        <w:rPr>
          <w:rFonts w:ascii="Times New Roman;Times;Serif" w:hAnsi="Times New Roman;Times;Serif"/>
          <w:b w:val="false"/>
          <w:i w:val="false"/>
          <w:caps w:val="false"/>
          <w:smallCaps w:val="false"/>
          <w:sz w:val="20"/>
        </w:rPr>
        <w:t>. The Merger shall have been consummated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Termination</w:t>
      </w:r>
      <w:r>
        <w:rPr>
          <w:rFonts w:ascii="Times New Roman;Times;Serif" w:hAnsi="Times New Roman;Times;Serif"/>
          <w:b w:val="false"/>
          <w:i w:val="false"/>
          <w:caps w:val="false"/>
          <w:smallCaps w:val="false"/>
          <w:sz w:val="20"/>
        </w:rPr>
        <w:t>. This Agreement shall not have been terminated as to such Purchaser in accordance with Section 6.18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MISCELLANEOUS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Fees and Expenses</w:t>
      </w:r>
      <w:r>
        <w:rPr>
          <w:rFonts w:ascii="Times New Roman;Times;Serif" w:hAnsi="Times New Roman;Times;Serif"/>
          <w:b w:val="false"/>
          <w:i w:val="false"/>
          <w:caps w:val="false"/>
          <w:smallCaps w:val="false"/>
          <w:sz w:val="20"/>
        </w:rPr>
        <w:t>. The Company and the Purchasers shall each pay the fees and expenses of their respective advisers, counsel, accountants and other experts, if any, and all other expenses incurred by such party in connection with the negotiation, preparation, execution, delivery and performance of this Agreement. The Company shall pay all Transfer Agent fees, stamp taxes and other taxes and duties levied in connection with the issuance and sale of the Securities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Purchasers will execute and deliver to the other such further documents as may be reasonably requested in order to give practical effect to the intention of the parties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electronic mail at the e-mail address specified in this Section 6.3 prior to 5:00 P.M., New York City time, on a Trading Day, (b) the next Trading Day after the date of transmission, if such notice or communication is delivered via electronic mail at the e- mail address or facsimile number specified in this Section 6.3 on a day that is not a Trading Day or later than 5:00 P.M., New York City time, on any Trading Day, (c) the Trading Day following the date of mailing, if sent by U.S. nationally recognized overnight courier service with next day delivery specified, or (d) upon actual receipt by the party to whom such notice is required to be given if delivered personally or if sent by U.S. certified or registered mail, return receipt requested; provided, in the case of clauses (a) and (b), that notice shall not be deemed given or effective if the sender receives an automatic system-generated response that such electronic mail was undeliverable. The address for such notices and communications shall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Jasper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Bridge Pkwy Suite #102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(650) 549-1400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DLA Piper LLP (US), One Liberty Place, 1650 Market Street, Suite 5000, Philadelphia, PA 19103-7300, Attention: Fahd Riaz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Purchaser: To the address set forth under such Purchaser’s name on Annex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as may be designated in writing hereafter, in the same manner,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Amendments; Waivers; No Additional Consideration</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Purchasers of at least a majority in interest of the Securities still held by Purchasers, provided that no amendment to Section 4.11, Section 4.14 or Section 6.18 may be made without the consent of each Purchaser, or, in the case of a waiver, by the party against whom enforcement of any such waiver is sought; provided further that any amendment, modification, alteration, or change that disproportionately and adversely affects the rights and obligations of any Purchaser relative to the comparable rights and obligations of the other Purchasers shall require the prior written consent of such adversely affected Purchaser. Notwithstanding the foregoing or anything else herein to the contrary, no amendment, modification, alteration, change or waiver of Section 6.19 shall be valid without the prior written consent of the Placement Agents, which consent may be granted or withheld in the sole discretion of the Placement Agents.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No consideration shall be offered or paid to any Purchaser to amend or consent to a waiver or modification of any provision of any Transaction Document unless the same consideration is also offered to all Purchasers who then hold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Construction</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Successors and Assigns</w:t>
      </w:r>
      <w:r>
        <w:rPr>
          <w:rFonts w:ascii="Times New Roman;Times;Serif" w:hAnsi="Times New Roman;Times;Serif"/>
          <w:b w:val="false"/>
          <w:i w:val="false"/>
          <w:caps w:val="false"/>
          <w:smallCaps w:val="false"/>
          <w:sz w:val="20"/>
        </w:rPr>
        <w:t>. The provisions of this Agreement shall inure to the benefit of and be binding upon the parties and their successors and permitted assigns. This Agreement, or any rights or obligations hereunder, may not be assigned by the Company without the prior written consent of each Purchaser. Any Purchaser may assign its rights hereunder in whole or in part to any Person to whom such Purchaser assigns or transfers any Securities in compliance with the Transaction Documents and applicable law, provided such transferee shall agree in writing to be bound, with respect to the transferred Securities, by the terms and conditions of this Agreement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 except that the Placement Agents are intended third-party beneficiaries of Article 3, Article 4, Section 5.1(h) and Section 6.19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Governing Law</w:t>
      </w:r>
      <w:r>
        <w:rPr>
          <w:rFonts w:ascii="Times New Roman;Times;Serif" w:hAnsi="Times New Roman;Times;Serif"/>
          <w:b w:val="false"/>
          <w:i w:val="false"/>
          <w:caps w:val="false"/>
          <w:smallCaps w:val="false"/>
          <w:sz w:val="20"/>
        </w:rPr>
        <w:t xml:space="preserve">.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employees or agents) shall be commenced exclusively in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New York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Times;Serif" w:hAnsi="Times New Roman;Times;Serif"/>
          <w:b/>
          <w:i w:val="false"/>
          <w:caps w:val="false"/>
          <w:smallCaps w:val="false"/>
          <w:sz w:val="20"/>
        </w:rPr>
        <w:t xml:space="preserve">EACH PARTY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Survival</w:t>
      </w:r>
      <w:r>
        <w:rPr>
          <w:rFonts w:ascii="Times New Roman;Times;Serif" w:hAnsi="Times New Roman;Times;Serif"/>
          <w:b w:val="false"/>
          <w:i w:val="false"/>
          <w:caps w:val="false"/>
          <w:smallCaps w:val="false"/>
          <w:sz w:val="20"/>
        </w:rPr>
        <w:t>. Subject to applicable statute of limitations, the representations, warranties, agreements and covenants contained herein shall survive the Closing and the delivery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 mail delivery of a “.pdf” format data file, or by any electronic signature complying with the U.S. ESIGN Act of 2000,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Severability</w:t>
      </w:r>
      <w:r>
        <w:rPr>
          <w:rFonts w:ascii="Times New Roman;Times;Serif" w:hAnsi="Times New Roman;Times;Serif"/>
          <w:b w:val="false"/>
          <w:i w:val="false"/>
          <w:caps w:val="false"/>
          <w:smallCaps w:val="false"/>
          <w:sz w:val="20"/>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6.12 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the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6.13 Replacement of Securities</w:t>
      </w:r>
      <w:r>
        <w:rPr>
          <w:rFonts w:ascii="Times New Roman;Times;Serif" w:hAnsi="Times New Roman;Times;Serif"/>
          <w:b w:val="false"/>
          <w:i w:val="false"/>
          <w:caps w:val="false"/>
          <w:smallCaps w:val="false"/>
          <w:sz w:val="20"/>
        </w:rPr>
        <w:t>. If any certificate or instrument evidencing any Securities or Conversion Shares is mutilated, lost, stolen or destroyed, the Company may issue or cause to be issued in exchange and substitution for and upon cancellation thereof, or in lieu of and substitution therefor, a new certificate or instrument, but only upon receipt of evidence reasonably satisfactory to the Company and the Transfer Agent of such loss, theft or destruction and the execution by the holder thereof of a customary lost certificate affidavit of that fact and an agreement to indemnify and hold harmless the Company and the Transfer Agent for any losses in connection therewith or, if required by the Transfer Agent, a bond in such form and amount as is required by the Transfer Agent. The applicants for a new certificate or instrument under such circumstances shall also pay any reasonable third-party costs associated with the issuance of such replacement Securities or Conversion Shares. If a replacement certificate or instrument evidencing any Securities or Conversion Shares is requested due to a mutilation thereof, the Company may require delivery of such mutilated certificate or instrument as a condition precedent to any issuance of a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6.14 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6.15 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6.16 Adjustments in Share Numbers and Prices</w:t>
      </w:r>
      <w:r>
        <w:rPr>
          <w:rFonts w:ascii="Times New Roman;Times;Serif" w:hAnsi="Times New Roman;Times;Serif"/>
          <w:b w:val="false"/>
          <w:i w:val="false"/>
          <w:caps w:val="false"/>
          <w:smallCaps w:val="false"/>
          <w:sz w:val="20"/>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6.17 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of the obligations of any other Purchaser under any Transaction Document.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Purchasers and their respective counsels have chosen to communicate with the Company through Covington &amp; Burling LLP, counsel to the Placement Agents. Each Purchaser acknowledges that Covington &amp; Burling LLP has rendered legal advice to the Placement Agents and not to such Purchaser in connection with the transactions contemplated hereby, and that each such Purchaser has relied for such matters on the advice of its own respective counsel. The Company has elected to provide all Purchasers with the same terms and Transaction Documents for the convenience of the Company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6.18 Termination</w:t>
      </w:r>
      <w:r>
        <w:rPr>
          <w:rFonts w:ascii="Times New Roman;Times;Serif" w:hAnsi="Times New Roman;Times;Serif"/>
          <w:b w:val="false"/>
          <w:i w:val="false"/>
          <w:caps w:val="false"/>
          <w:smallCaps w:val="false"/>
          <w:sz w:val="20"/>
        </w:rPr>
        <w:t xml:space="preserve">. This Agreement may be terminated and the sale and purchase of the Securities abandoned at any time prior to the Closing by either the Company or any Purchaser (with respect to itself only) upon written notice to the other, if the Closing has not been consummated on or prior to 5:00 P.M., New York City time, on the Outside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terminate this Agreement under this clause shall not be available to any Person whose failure to comply with its obligations under this Agreement has been the cause of or resulted in the failure of the Closing to occur on or before such time. Nothing in this Section 6.18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of a termination pursuant to this Section 6.18, the Company shall promptly notify all non-terminating Purchasers. Upon a termination in accordance with this Section 6.18, the Company and the terminating Purchaser(s) shall not have any further obligation or liability (including arising from such termination) to the other, including any confidentiality obligation, and no Purchaser will have any liability to any other Purchaser under the Transaction Documents as a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 Reliance by and Exculpation of Placement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Each Purchaser agrees for the express benefit of the Placement Agents, their respective Affiliates and their respective representatives that (i) it is not relying upon, and has not relied upon, any statement, representation or warranty made by the Placement Agents, any of their Affiliates or any of their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Purchaser, (iii) the Placement Agents, their respective Affiliates and their respective representatives have not made, and will not make any representations or warranties with respect to the Company or the offer and sale of the Securities or any other matter concerning the Company or the transactions contemplated hereby, and the Purchaser will not rely on any statements made by the Placement Agents, orally or in writing, to the contrary, (iv) the Purchaser will be responsible for conducting its own due diligence investigation with respect to the Company and the offer and sale of the Securities, (v) the Purchaser will be purchasing Securities based on the results of its own due diligence investigation of the Company and the Placement Agents and each of their directors, officers, employees, representatives, and controlling persons have made no independent investigation with respect to the Company, the Securities, or the accuracy, completeness, or adequacy of any information supplied to the Purchaser by the Company, (vi) the Purchaser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Purchaser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6.19 shall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The Company agrees and acknowledges that the Placement Agents may rely on its representations, warranties, agreements and covenants contained in this Agreement and each Purchaser agrees that the Placement Agents may rely on such Purchaser’s representations and warranties contained in this Agreement as if such representations and warranties, as applicable, were made directly to the Placement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Neither the Placement Agents nor any of their respective Affiliates or representatives (i) shall be liable for any improper payment made in accordance with the information provided by the Company; (ii) makes any representation or warranty, or has any responsibilities as to the validity, enforceability, accuracy, value or genuineness of any information, certificates or documentation delivered by or on behalf of the Company pursuant to the Transaction Documents or in connection with any of the transactions contemplated therein; or (iii) shall be liable (x) for any action taken, suffered or omitted by any of them in good faith and reasonably believed to be authorized or within the discretion or rights or powers conferred upon them by the Transaction Documents or (y) for anything which any of them may do or refrain from doing in connection with the Transaction Documents, except in each case for such party’s own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agrees that each Placement Agent, its affiliates and representatives shall be entitled to (i) rely on, and shall be protected in acting upon, any certificate, instrument, notice, letter or any other document or security delivered to any of them by or on behalf of the Company, and (ii) be indemnified by the Company for acting as a Placement Agent hereunder pursuant to the indemnification provisions set forth in the applicable letter agreement between the Company and such Placement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[REMAINDER OF PAGE INTENTIONALLY LEFT BLANK]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3065" w:type="dxa"/>
        <w:jc w:val="left"/>
        <w:tblInd w:w="0" w:type="dxa"/>
        <w:tblLayout w:type="fixed"/>
        <w:tblCellMar>
          <w:top w:w="0" w:type="dxa"/>
          <w:left w:w="0" w:type="dxa"/>
          <w:bottom w:w="0" w:type="dxa"/>
          <w:right w:w="0" w:type="dxa"/>
        </w:tblCellMar>
      </w:tblPr>
      <w:tblGrid>
        <w:gridCol w:w="75"/>
        <w:gridCol w:w="635"/>
        <w:gridCol w:w="2355"/>
      </w:tblGrid>
      <w:tr>
        <w:trPr/>
        <w:tc>
          <w:tcPr>
            <w:tcW w:w="75" w:type="dxa"/>
            <w:tcBorders/>
            <w:vAlign w:val="center"/>
          </w:tcPr>
          <w:p>
            <w:pPr>
              <w:pStyle w:val="TableContents"/>
              <w:bidi w:val="0"/>
              <w:spacing w:before="0" w:after="283"/>
              <w:jc w:val="left"/>
              <w:rPr/>
            </w:pPr>
            <w:r>
              <w:rPr/>
              <w:t> </w:t>
            </w:r>
          </w:p>
        </w:tc>
        <w:tc>
          <w:tcPr>
            <w:tcW w:w="2990" w:type="dxa"/>
            <w:gridSpan w:val="2"/>
            <w:tcBorders/>
            <w:vAlign w:val="center"/>
          </w:tcPr>
          <w:p>
            <w:pPr>
              <w:pStyle w:val="TableContents"/>
              <w:bidi w:val="0"/>
              <w:spacing w:before="0" w:after="283"/>
              <w:jc w:val="left"/>
              <w:rPr>
                <w:sz w:val="20"/>
              </w:rPr>
            </w:pPr>
            <w:r>
              <w:rPr>
                <w:b/>
                <w:smallCaps/>
                <w:sz w:val="20"/>
              </w:rPr>
              <w:t>Jasper</w:t>
            </w:r>
            <w:r>
              <w:rPr>
                <w:sz w:val="20"/>
              </w:rPr>
              <w:t xml:space="preserve"> </w:t>
            </w:r>
            <w:r>
              <w:rPr>
                <w:b/>
                <w:sz w:val="20"/>
              </w:rPr>
              <w:t>T</w:t>
            </w:r>
            <w:r>
              <w:rPr>
                <w:b/>
                <w:smallCaps/>
                <w:sz w:val="20"/>
              </w:rPr>
              <w:t>herapeutics</w:t>
            </w:r>
            <w:r>
              <w:rPr>
                <w:b/>
                <w:sz w:val="20"/>
              </w:rPr>
              <w:t>, Inc.</w:t>
            </w:r>
            <w:r>
              <w:rPr>
                <w:sz w:val="20"/>
              </w:rPr>
              <w:t xml:space="preserve"> </w:t>
            </w:r>
          </w:p>
        </w:tc>
      </w:tr>
      <w:tr>
        <w:trPr/>
        <w:tc>
          <w:tcPr>
            <w:tcW w:w="75" w:type="dxa"/>
            <w:tcBorders/>
            <w:vAlign w:val="center"/>
          </w:tcPr>
          <w:p>
            <w:pPr>
              <w:pStyle w:val="TableContents"/>
              <w:bidi w:val="0"/>
              <w:spacing w:before="0" w:after="283"/>
              <w:jc w:val="left"/>
              <w:rPr/>
            </w:pPr>
            <w:r>
              <w:rPr/>
              <w:t> </w:t>
            </w:r>
          </w:p>
        </w:tc>
        <w:tc>
          <w:tcPr>
            <w:tcW w:w="29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r>
          </w:p>
        </w:tc>
        <w:tc>
          <w:tcPr>
            <w:tcW w:w="23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2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23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[Signature Page To Securities Purchase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75"/>
        <w:gridCol w:w="590"/>
        <w:gridCol w:w="1275"/>
      </w:tblGrid>
      <w:tr>
        <w:trPr/>
        <w:tc>
          <w:tcPr>
            <w:tcW w:w="75"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Purchasers:</w:t>
            </w:r>
          </w:p>
        </w:tc>
      </w:tr>
      <w:tr>
        <w:trPr/>
        <w:tc>
          <w:tcPr>
            <w:tcW w:w="75"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left"/>
              <w:rPr>
                <w:sz w:val="20"/>
              </w:rPr>
            </w:pPr>
            <w:r>
              <w:rPr>
                <w:sz w:val="20"/>
              </w:rPr>
              <w:t>[________]</w:t>
            </w:r>
          </w:p>
        </w:tc>
      </w:tr>
      <w:tr>
        <w:trPr/>
        <w:tc>
          <w:tcPr>
            <w:tcW w:w="75"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2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2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2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smallCaps/>
          <w:sz w:val="20"/>
        </w:rPr>
        <w:t>Signature Page To Securities Purchase Agreement</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PURCHASERS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66"/>
        <w:gridCol w:w="60"/>
        <w:gridCol w:w="227"/>
        <w:gridCol w:w="2289"/>
        <w:gridCol w:w="230"/>
        <w:gridCol w:w="60"/>
        <w:gridCol w:w="225"/>
        <w:gridCol w:w="2269"/>
        <w:gridCol w:w="230"/>
        <w:gridCol w:w="60"/>
        <w:gridCol w:w="149"/>
        <w:gridCol w:w="1650"/>
        <w:gridCol w:w="190"/>
      </w:tblGrid>
      <w:tr>
        <w:trPr/>
        <w:tc>
          <w:tcPr>
            <w:tcW w:w="2566" w:type="dxa"/>
            <w:tcBorders>
              <w:bottom w:val="single" w:sz="12" w:space="0" w:color="000000"/>
            </w:tcBorders>
            <w:vAlign w:val="center"/>
          </w:tcPr>
          <w:p>
            <w:pPr>
              <w:pStyle w:val="TableContents"/>
              <w:bidi w:val="0"/>
              <w:spacing w:before="0" w:after="283"/>
              <w:jc w:val="left"/>
              <w:rPr>
                <w:b/>
              </w:rPr>
            </w:pPr>
            <w:r>
              <w:rPr>
                <w:b/>
              </w:rPr>
              <w:t>Purchaser Name and Address</w:t>
            </w:r>
          </w:p>
        </w:tc>
        <w:tc>
          <w:tcPr>
            <w:tcW w:w="60" w:type="dxa"/>
            <w:tcBorders/>
            <w:tcMar>
              <w:bottom w:w="0" w:type="dxa"/>
            </w:tcMar>
            <w:vAlign w:val="center"/>
          </w:tcPr>
          <w:p>
            <w:pPr>
              <w:pStyle w:val="TableContents"/>
              <w:bidi w:val="0"/>
              <w:spacing w:before="0" w:after="283"/>
              <w:jc w:val="left"/>
              <w:rPr/>
            </w:pPr>
            <w:r>
              <w:rPr/>
              <w:t> </w:t>
            </w:r>
          </w:p>
        </w:tc>
        <w:tc>
          <w:tcPr>
            <w:tcW w:w="2746" w:type="dxa"/>
            <w:gridSpan w:val="3"/>
            <w:tcBorders>
              <w:bottom w:val="single" w:sz="12" w:space="0" w:color="000000"/>
            </w:tcBorders>
            <w:vAlign w:val="center"/>
          </w:tcPr>
          <w:p>
            <w:pPr>
              <w:pStyle w:val="TableContents"/>
              <w:bidi w:val="0"/>
              <w:spacing w:before="0" w:after="283"/>
              <w:jc w:val="center"/>
              <w:rPr>
                <w:b/>
              </w:rPr>
            </w:pPr>
            <w:r>
              <w:rPr>
                <w:b/>
              </w:rPr>
              <w:t>Beneficial Ownership Limitation</w:t>
            </w:r>
          </w:p>
        </w:tc>
        <w:tc>
          <w:tcPr>
            <w:tcW w:w="60" w:type="dxa"/>
            <w:tcBorders/>
            <w:tcMar>
              <w:bottom w:w="0" w:type="dxa"/>
            </w:tcMar>
            <w:vAlign w:val="center"/>
          </w:tcPr>
          <w:p>
            <w:pPr>
              <w:pStyle w:val="TableContents"/>
              <w:bidi w:val="0"/>
              <w:spacing w:before="0" w:after="283"/>
              <w:jc w:val="left"/>
              <w:rPr/>
            </w:pPr>
            <w:r>
              <w:rPr/>
              <w:t> </w:t>
            </w:r>
          </w:p>
        </w:tc>
        <w:tc>
          <w:tcPr>
            <w:tcW w:w="2724" w:type="dxa"/>
            <w:gridSpan w:val="3"/>
            <w:tcBorders>
              <w:bottom w:val="single" w:sz="12" w:space="0" w:color="000000"/>
            </w:tcBorders>
            <w:vAlign w:val="center"/>
          </w:tcPr>
          <w:p>
            <w:pPr>
              <w:pStyle w:val="TableContents"/>
              <w:bidi w:val="0"/>
              <w:spacing w:before="0" w:after="283"/>
              <w:jc w:val="center"/>
              <w:rPr>
                <w:b/>
              </w:rPr>
            </w:pPr>
            <w:r>
              <w:rPr>
                <w:b/>
              </w:rPr>
              <w:t>Number of Securities Purchased</w:t>
            </w:r>
          </w:p>
        </w:tc>
        <w:tc>
          <w:tcPr>
            <w:tcW w:w="60" w:type="dxa"/>
            <w:tcBorders/>
            <w:tcMar>
              <w:bottom w:w="0" w:type="dxa"/>
            </w:tcMar>
            <w:vAlign w:val="center"/>
          </w:tcPr>
          <w:p>
            <w:pPr>
              <w:pStyle w:val="TableContents"/>
              <w:bidi w:val="0"/>
              <w:spacing w:before="0" w:after="283"/>
              <w:jc w:val="left"/>
              <w:rPr/>
            </w:pPr>
            <w:r>
              <w:rPr/>
              <w:t> </w:t>
            </w:r>
          </w:p>
        </w:tc>
        <w:tc>
          <w:tcPr>
            <w:tcW w:w="1989" w:type="dxa"/>
            <w:gridSpan w:val="3"/>
            <w:tcBorders>
              <w:bottom w:val="single" w:sz="12" w:space="0" w:color="000000"/>
            </w:tcBorders>
            <w:vAlign w:val="center"/>
          </w:tcPr>
          <w:p>
            <w:pPr>
              <w:pStyle w:val="TableContents"/>
              <w:bidi w:val="0"/>
              <w:spacing w:before="0" w:after="283"/>
              <w:jc w:val="center"/>
              <w:rPr>
                <w:b/>
              </w:rPr>
            </w:pPr>
            <w:r>
              <w:rPr>
                <w:b/>
              </w:rPr>
              <w:t>Subscription Amount</w:t>
            </w:r>
          </w:p>
        </w:tc>
      </w:tr>
      <w:tr>
        <w:trPr/>
        <w:tc>
          <w:tcPr>
            <w:tcW w:w="25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28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pPr>
            <w:r>
              <w:rPr/>
              <w:t> </w:t>
            </w:r>
          </w:p>
        </w:tc>
        <w:tc>
          <w:tcPr>
            <w:tcW w:w="226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650" w:type="dxa"/>
            <w:tcBorders/>
            <w:shd w:fill="CCEEFF" w:val="clear"/>
            <w:tcMar>
              <w:bottom w:w="0" w:type="dxa"/>
            </w:tcMar>
            <w:vAlign w:val="center"/>
          </w:tcPr>
          <w:p>
            <w:pPr>
              <w:pStyle w:val="TableContents"/>
              <w:bidi w:val="0"/>
              <w:spacing w:before="0" w:after="283"/>
              <w:jc w:val="righ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r>
      <w:tr>
        <w:trPr/>
        <w:tc>
          <w:tcPr>
            <w:tcW w:w="25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28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 w:type="dxa"/>
            <w:tcBorders/>
            <w:shd w:fill="FFFFFF" w:val="clear"/>
            <w:tcMar>
              <w:bottom w:w="0" w:type="dxa"/>
            </w:tcMar>
            <w:vAlign w:val="center"/>
          </w:tcPr>
          <w:p>
            <w:pPr>
              <w:pStyle w:val="TableContents"/>
              <w:bidi w:val="0"/>
              <w:spacing w:before="0" w:after="283"/>
              <w:jc w:val="left"/>
              <w:rPr/>
            </w:pPr>
            <w:r>
              <w:rPr/>
              <w:t> </w:t>
            </w:r>
          </w:p>
        </w:tc>
        <w:tc>
          <w:tcPr>
            <w:tcW w:w="226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1650" w:type="dxa"/>
            <w:tcBorders/>
            <w:shd w:fill="FFFFFF" w:val="clear"/>
            <w:tcMar>
              <w:bottom w:w="0" w:type="dxa"/>
            </w:tcMar>
            <w:vAlign w:val="center"/>
          </w:tcPr>
          <w:p>
            <w:pPr>
              <w:pStyle w:val="TableContents"/>
              <w:bidi w:val="0"/>
              <w:spacing w:before="0" w:after="283"/>
              <w:jc w:val="righ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r>
      <w:tr>
        <w:trPr/>
        <w:tc>
          <w:tcPr>
            <w:tcW w:w="25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28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pPr>
            <w:r>
              <w:rPr/>
              <w:t> </w:t>
            </w:r>
          </w:p>
        </w:tc>
        <w:tc>
          <w:tcPr>
            <w:tcW w:w="226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650" w:type="dxa"/>
            <w:tcBorders/>
            <w:shd w:fill="CCEEFF" w:val="clear"/>
            <w:tcMar>
              <w:bottom w:w="0" w:type="dxa"/>
            </w:tcMar>
            <w:vAlign w:val="center"/>
          </w:tcPr>
          <w:p>
            <w:pPr>
              <w:pStyle w:val="TableContents"/>
              <w:bidi w:val="0"/>
              <w:spacing w:before="0" w:after="283"/>
              <w:jc w:val="righ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r>
      <w:tr>
        <w:trPr/>
        <w:tc>
          <w:tcPr>
            <w:tcW w:w="25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28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 w:type="dxa"/>
            <w:tcBorders/>
            <w:shd w:fill="FFFFFF" w:val="clear"/>
            <w:tcMar>
              <w:bottom w:w="0" w:type="dxa"/>
            </w:tcMar>
            <w:vAlign w:val="center"/>
          </w:tcPr>
          <w:p>
            <w:pPr>
              <w:pStyle w:val="TableContents"/>
              <w:bidi w:val="0"/>
              <w:spacing w:before="0" w:after="283"/>
              <w:jc w:val="left"/>
              <w:rPr/>
            </w:pPr>
            <w:r>
              <w:rPr/>
              <w:t> </w:t>
            </w:r>
          </w:p>
        </w:tc>
        <w:tc>
          <w:tcPr>
            <w:tcW w:w="226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1650" w:type="dxa"/>
            <w:tcBorders/>
            <w:shd w:fill="FFFFFF" w:val="clear"/>
            <w:tcMar>
              <w:bottom w:w="0" w:type="dxa"/>
            </w:tcMar>
            <w:vAlign w:val="center"/>
          </w:tcPr>
          <w:p>
            <w:pPr>
              <w:pStyle w:val="TableContents"/>
              <w:bidi w:val="0"/>
              <w:spacing w:before="0" w:after="283"/>
              <w:jc w:val="righ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r>
      <w:tr>
        <w:trPr/>
        <w:tc>
          <w:tcPr>
            <w:tcW w:w="25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28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pPr>
            <w:r>
              <w:rPr/>
              <w:t> </w:t>
            </w:r>
          </w:p>
        </w:tc>
        <w:tc>
          <w:tcPr>
            <w:tcW w:w="226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650" w:type="dxa"/>
            <w:tcBorders/>
            <w:shd w:fill="CCEEFF" w:val="clear"/>
            <w:tcMar>
              <w:bottom w:w="0" w:type="dxa"/>
            </w:tcMar>
            <w:vAlign w:val="center"/>
          </w:tcPr>
          <w:p>
            <w:pPr>
              <w:pStyle w:val="TableContents"/>
              <w:bidi w:val="0"/>
              <w:spacing w:before="0" w:after="283"/>
              <w:jc w:val="righ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r>
      <w:tr>
        <w:trPr/>
        <w:tc>
          <w:tcPr>
            <w:tcW w:w="25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28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 w:type="dxa"/>
            <w:tcBorders/>
            <w:shd w:fill="FFFFFF" w:val="clear"/>
            <w:tcMar>
              <w:bottom w:w="0" w:type="dxa"/>
            </w:tcMar>
            <w:vAlign w:val="center"/>
          </w:tcPr>
          <w:p>
            <w:pPr>
              <w:pStyle w:val="TableContents"/>
              <w:bidi w:val="0"/>
              <w:spacing w:before="0" w:after="283"/>
              <w:jc w:val="left"/>
              <w:rPr/>
            </w:pPr>
            <w:r>
              <w:rPr/>
              <w:t> </w:t>
            </w:r>
          </w:p>
        </w:tc>
        <w:tc>
          <w:tcPr>
            <w:tcW w:w="226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1650" w:type="dxa"/>
            <w:tcBorders/>
            <w:shd w:fill="FFFFFF" w:val="clear"/>
            <w:tcMar>
              <w:bottom w:w="0" w:type="dxa"/>
            </w:tcMar>
            <w:vAlign w:val="center"/>
          </w:tcPr>
          <w:p>
            <w:pPr>
              <w:pStyle w:val="TableContents"/>
              <w:bidi w:val="0"/>
              <w:spacing w:before="0" w:after="283"/>
              <w:jc w:val="righ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r>
      <w:tr>
        <w:trPr/>
        <w:tc>
          <w:tcPr>
            <w:tcW w:w="25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28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pPr>
            <w:r>
              <w:rPr/>
              <w:t> </w:t>
            </w:r>
          </w:p>
        </w:tc>
        <w:tc>
          <w:tcPr>
            <w:tcW w:w="226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650" w:type="dxa"/>
            <w:tcBorders/>
            <w:shd w:fill="CCEEFF" w:val="clear"/>
            <w:tcMar>
              <w:bottom w:w="0" w:type="dxa"/>
            </w:tcMar>
            <w:vAlign w:val="center"/>
          </w:tcPr>
          <w:p>
            <w:pPr>
              <w:pStyle w:val="TableContents"/>
              <w:bidi w:val="0"/>
              <w:spacing w:before="0" w:after="283"/>
              <w:jc w:val="righ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r>
      <w:tr>
        <w:trPr/>
        <w:tc>
          <w:tcPr>
            <w:tcW w:w="25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single" w:sz="12" w:space="0" w:color="000000"/>
            </w:tcBorders>
            <w:shd w:fill="FFFFFF" w:val="clear"/>
            <w:vAlign w:val="center"/>
          </w:tcPr>
          <w:p>
            <w:pPr>
              <w:pStyle w:val="TableContents"/>
              <w:bidi w:val="0"/>
              <w:spacing w:before="0" w:after="283"/>
              <w:jc w:val="left"/>
              <w:rPr/>
            </w:pPr>
            <w:r>
              <w:rPr/>
              <w:t> </w:t>
            </w:r>
          </w:p>
        </w:tc>
        <w:tc>
          <w:tcPr>
            <w:tcW w:w="2289" w:type="dxa"/>
            <w:tcBorders>
              <w:bottom w:val="single" w:sz="12" w:space="0" w:color="000000"/>
            </w:tcBorders>
            <w:shd w:fill="FFFFFF" w:val="cle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 w:type="dxa"/>
            <w:tcBorders>
              <w:bottom w:val="single" w:sz="12" w:space="0" w:color="000000"/>
            </w:tcBorders>
            <w:shd w:fill="FFFFFF" w:val="clear"/>
            <w:vAlign w:val="center"/>
          </w:tcPr>
          <w:p>
            <w:pPr>
              <w:pStyle w:val="TableContents"/>
              <w:bidi w:val="0"/>
              <w:spacing w:before="0" w:after="283"/>
              <w:jc w:val="left"/>
              <w:rPr/>
            </w:pPr>
            <w:r>
              <w:rPr/>
              <w:t> </w:t>
            </w:r>
          </w:p>
        </w:tc>
        <w:tc>
          <w:tcPr>
            <w:tcW w:w="2269" w:type="dxa"/>
            <w:tcBorders>
              <w:bottom w:val="single" w:sz="12" w:space="0" w:color="000000"/>
            </w:tcBorders>
            <w:shd w:fill="FFFFFF" w:val="cle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FFFFFF" w:val="clear"/>
            <w:vAlign w:val="center"/>
          </w:tcPr>
          <w:p>
            <w:pPr>
              <w:pStyle w:val="TableContents"/>
              <w:bidi w:val="0"/>
              <w:spacing w:before="0" w:after="283"/>
              <w:jc w:val="left"/>
              <w:rPr/>
            </w:pPr>
            <w:r>
              <w:rPr/>
              <w:t> </w:t>
            </w:r>
          </w:p>
        </w:tc>
        <w:tc>
          <w:tcPr>
            <w:tcW w:w="1650" w:type="dxa"/>
            <w:tcBorders>
              <w:bottom w:val="single" w:sz="12" w:space="0" w:color="000000"/>
            </w:tcBorders>
            <w:shd w:fill="FFFFFF" w:val="clear"/>
            <w:vAlign w:val="center"/>
          </w:tcPr>
          <w:p>
            <w:pPr>
              <w:pStyle w:val="TableContents"/>
              <w:bidi w:val="0"/>
              <w:spacing w:before="0" w:after="283"/>
              <w:jc w:val="righ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r>
      <w:tr>
        <w:trPr/>
        <w:tc>
          <w:tcPr>
            <w:tcW w:w="2566"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289"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269"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650"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30"/>
        <w:gridCol w:w="2135"/>
      </w:tblGrid>
      <w:tr>
        <w:trPr/>
        <w:tc>
          <w:tcPr>
            <w:tcW w:w="230" w:type="dxa"/>
            <w:tcBorders/>
            <w:vAlign w:val="center"/>
          </w:tcPr>
          <w:p>
            <w:pPr>
              <w:pStyle w:val="TableContents"/>
              <w:bidi w:val="0"/>
              <w:spacing w:before="0" w:after="283"/>
              <w:jc w:val="left"/>
              <w:rPr>
                <w:sz w:val="20"/>
              </w:rPr>
            </w:pPr>
            <w:r>
              <w:rPr>
                <w:sz w:val="20"/>
              </w:rPr>
              <w:t>A:</w:t>
            </w:r>
          </w:p>
        </w:tc>
        <w:tc>
          <w:tcPr>
            <w:tcW w:w="2135" w:type="dxa"/>
            <w:tcBorders/>
            <w:vAlign w:val="center"/>
          </w:tcPr>
          <w:p>
            <w:pPr>
              <w:pStyle w:val="TableContents"/>
              <w:bidi w:val="0"/>
              <w:spacing w:before="0" w:after="283"/>
              <w:jc w:val="both"/>
              <w:rPr>
                <w:sz w:val="20"/>
              </w:rPr>
            </w:pPr>
            <w:r>
              <w:rPr>
                <w:sz w:val="20"/>
              </w:rPr>
              <w:t>Certificate of Designation</w:t>
            </w:r>
          </w:p>
        </w:tc>
      </w:tr>
    </w:tbl>
    <w:p>
      <w:pPr>
        <w:pStyle w:val="TextBody"/>
        <w:bidi w:val="0"/>
        <w:spacing w:before="0" w:after="0"/>
        <w:ind w:left="72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0"/>
        <w:gridCol w:w="3275"/>
      </w:tblGrid>
      <w:tr>
        <w:trPr/>
        <w:tc>
          <w:tcPr>
            <w:tcW w:w="230" w:type="dxa"/>
            <w:tcBorders/>
            <w:vAlign w:val="center"/>
          </w:tcPr>
          <w:p>
            <w:pPr>
              <w:pStyle w:val="TableContents"/>
              <w:bidi w:val="0"/>
              <w:spacing w:before="0" w:after="283"/>
              <w:jc w:val="left"/>
              <w:rPr>
                <w:sz w:val="20"/>
              </w:rPr>
            </w:pPr>
            <w:r>
              <w:rPr>
                <w:sz w:val="20"/>
              </w:rPr>
              <w:t>B:</w:t>
            </w:r>
          </w:p>
        </w:tc>
        <w:tc>
          <w:tcPr>
            <w:tcW w:w="3275" w:type="dxa"/>
            <w:tcBorders/>
            <w:vAlign w:val="center"/>
          </w:tcPr>
          <w:p>
            <w:pPr>
              <w:pStyle w:val="TableContents"/>
              <w:bidi w:val="0"/>
              <w:spacing w:before="0" w:after="283"/>
              <w:jc w:val="left"/>
              <w:rPr>
                <w:sz w:val="20"/>
              </w:rPr>
            </w:pPr>
            <w:r>
              <w:rPr>
                <w:sz w:val="20"/>
              </w:rPr>
              <w:t xml:space="preserve">Form of Registration Rights Agreement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30"/>
        <w:gridCol w:w="3920"/>
      </w:tblGrid>
      <w:tr>
        <w:trPr/>
        <w:tc>
          <w:tcPr>
            <w:tcW w:w="230" w:type="dxa"/>
            <w:tcBorders/>
            <w:vAlign w:val="center"/>
          </w:tcPr>
          <w:p>
            <w:pPr>
              <w:pStyle w:val="TableContents"/>
              <w:bidi w:val="0"/>
              <w:spacing w:before="0" w:after="283"/>
              <w:jc w:val="left"/>
              <w:rPr>
                <w:sz w:val="20"/>
              </w:rPr>
            </w:pPr>
            <w:r>
              <w:rPr>
                <w:sz w:val="20"/>
              </w:rPr>
              <w:t>C:</w:t>
            </w:r>
          </w:p>
        </w:tc>
        <w:tc>
          <w:tcPr>
            <w:tcW w:w="3920" w:type="dxa"/>
            <w:tcBorders/>
            <w:vAlign w:val="center"/>
          </w:tcPr>
          <w:p>
            <w:pPr>
              <w:pStyle w:val="TableContents"/>
              <w:bidi w:val="0"/>
              <w:spacing w:before="0" w:after="283"/>
              <w:jc w:val="left"/>
              <w:rPr>
                <w:sz w:val="20"/>
              </w:rPr>
            </w:pPr>
            <w:r>
              <w:rPr>
                <w:sz w:val="20"/>
              </w:rPr>
              <w:t xml:space="preserve">Form of Irrevocable Transfer Agent Instructions </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30"/>
        <w:gridCol w:w="2540"/>
      </w:tblGrid>
      <w:tr>
        <w:trPr/>
        <w:tc>
          <w:tcPr>
            <w:tcW w:w="230" w:type="dxa"/>
            <w:tcBorders/>
            <w:vAlign w:val="center"/>
          </w:tcPr>
          <w:p>
            <w:pPr>
              <w:pStyle w:val="TableContents"/>
              <w:bidi w:val="0"/>
              <w:spacing w:before="0" w:after="283"/>
              <w:jc w:val="left"/>
              <w:rPr>
                <w:sz w:val="20"/>
              </w:rPr>
            </w:pPr>
            <w:r>
              <w:rPr>
                <w:sz w:val="20"/>
              </w:rPr>
              <w:t>D:</w:t>
            </w:r>
          </w:p>
        </w:tc>
        <w:tc>
          <w:tcPr>
            <w:tcW w:w="2540" w:type="dxa"/>
            <w:tcBorders/>
            <w:vAlign w:val="center"/>
          </w:tcPr>
          <w:p>
            <w:pPr>
              <w:pStyle w:val="TableContents"/>
              <w:bidi w:val="0"/>
              <w:spacing w:before="0" w:after="283"/>
              <w:jc w:val="left"/>
              <w:rPr>
                <w:sz w:val="20"/>
              </w:rPr>
            </w:pPr>
            <w:r>
              <w:rPr>
                <w:sz w:val="20"/>
              </w:rPr>
              <w:t xml:space="preserve">Form of Secretary’s Certificate </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15"/>
        <w:gridCol w:w="2345"/>
      </w:tblGrid>
      <w:tr>
        <w:trPr/>
        <w:tc>
          <w:tcPr>
            <w:tcW w:w="215" w:type="dxa"/>
            <w:tcBorders/>
            <w:vAlign w:val="center"/>
          </w:tcPr>
          <w:p>
            <w:pPr>
              <w:pStyle w:val="TableContents"/>
              <w:bidi w:val="0"/>
              <w:spacing w:before="0" w:after="283"/>
              <w:jc w:val="left"/>
              <w:rPr>
                <w:sz w:val="20"/>
              </w:rPr>
            </w:pPr>
            <w:r>
              <w:rPr>
                <w:sz w:val="20"/>
              </w:rPr>
              <w:t>E:</w:t>
            </w:r>
          </w:p>
        </w:tc>
        <w:tc>
          <w:tcPr>
            <w:tcW w:w="2345" w:type="dxa"/>
            <w:tcBorders/>
            <w:vAlign w:val="center"/>
          </w:tcPr>
          <w:p>
            <w:pPr>
              <w:pStyle w:val="TableContents"/>
              <w:bidi w:val="0"/>
              <w:spacing w:before="0" w:after="283"/>
              <w:jc w:val="left"/>
              <w:rPr>
                <w:sz w:val="20"/>
              </w:rPr>
            </w:pPr>
            <w:r>
              <w:rPr>
                <w:sz w:val="20"/>
              </w:rPr>
              <w:t xml:space="preserve">Form of Officers’ Certificate </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00"/>
        <w:gridCol w:w="1595"/>
      </w:tblGrid>
      <w:tr>
        <w:trPr/>
        <w:tc>
          <w:tcPr>
            <w:tcW w:w="200" w:type="dxa"/>
            <w:tcBorders/>
            <w:vAlign w:val="center"/>
          </w:tcPr>
          <w:p>
            <w:pPr>
              <w:pStyle w:val="TableContents"/>
              <w:bidi w:val="0"/>
              <w:spacing w:before="0" w:after="283"/>
              <w:jc w:val="left"/>
              <w:rPr>
                <w:sz w:val="20"/>
              </w:rPr>
            </w:pPr>
            <w:r>
              <w:rPr>
                <w:sz w:val="20"/>
              </w:rPr>
              <w:t>F:</w:t>
            </w:r>
          </w:p>
        </w:tc>
        <w:tc>
          <w:tcPr>
            <w:tcW w:w="1595" w:type="dxa"/>
            <w:tcBorders/>
            <w:vAlign w:val="center"/>
          </w:tcPr>
          <w:p>
            <w:pPr>
              <w:pStyle w:val="TableContents"/>
              <w:bidi w:val="0"/>
              <w:spacing w:before="0" w:after="283"/>
              <w:jc w:val="left"/>
              <w:rPr>
                <w:sz w:val="20"/>
              </w:rPr>
            </w:pPr>
            <w:r>
              <w:rPr>
                <w:sz w:val="20"/>
              </w:rPr>
              <w:t xml:space="preserve">Merger Agreement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OF REGISTRATION RIGHTS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OF IRREVOCABLE TRANSFER AGENT INSTRUCTIONS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____________,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 of Transfer Agent]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Securities Purchase Agreement, dated as of July [__], 2026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by and among Jasper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purchasers named on the signature pages thereto (collectively, and including permitted transferees, the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pursuant to which the Company is issuing to the Holders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Non-Voting Convertible Preferred Stock, par value $0.0001 per share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which will be convertible into shares (the “</w:t>
      </w:r>
      <w:r>
        <w:rPr>
          <w:rFonts w:ascii="Times New Roman;Times;Serif" w:hAnsi="Times New Roman;Times;Serif"/>
          <w:b/>
          <w:i/>
          <w:caps w:val="false"/>
          <w:smallCaps w:val="false"/>
          <w:sz w:val="20"/>
        </w:rPr>
        <w:t>Conversion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serve as our irrevocable authorization and direction to you to issue the Shares as book-entry restricted shares in the names and denominations specified on Schedule I hereto. The Shares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are, therefore, “restricted securities”. Accordingly, the Shares shall bear the following restricted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APPLICABLE STATE SECURITIES LAWS. THE SECURITIES MAY NOT BE OFFERED FOR SALE, SOLD, TRANSFERRED OR ASSIGNED (I) IN THE ABSENCE OF (A) AN EFFECTIVE REGISTRATION STATEMENT FOR THE SECURITIES UNDER THE SECURITIES ACT OR (B) AN AVAILABLE EXEMPTION FROM, OR IN A TRANSACTION NOT SUBJECT TO, THE REGISTRATION REQUIREMENTS OF THE SECURITIES ACT, AS EVIDENCED BY A LEGAL OPINION OF COUNSEL REASONABLY SATISFACTORY TO THE COMPANY AND ITS TRANSFER AGENT, AND IN ACCORDANCE WITH APPLICABLE STATE SECURITIES LAWS OR BLUE SKY LAWS OR (II) UNLESS SOLD PURSUANT TO RULE 144 UNDER THE SECURITIES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also serve as our irrevocable authorization and direction to you (provided that you are the transfer agent of the Company at such time and the conditions set forth in this letter are satisfied), subject to any stop transfer instructions that we may issue to you from time to time, if any, to issue shares of Common Stock upon conversion, transfer or resale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acknowledge and agree that so long as you have received (a) written confirmation from the Company’s legal counsel that either (1) a registration statement covering resales of the Conversion Shares has been declared effective by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or (2) the Conversion Shares have been sold in conformity with Rule 144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or are eligible for sale under Rule 144, without the requirement for the Company to be in compliance with the current public information required under Rule 144 as to such securities and without volume or manner-of-sale restrictions and (b) if applicable, a copy of such registration statement, then, unless otherwise required by law, within one (1) Trading Day of your receipt of a notice of transfer or Conversion Shares, you shall issue the certificates representing the Conversion Shares registered in the names of such Holders or transferees, as the case may be, and such certificates shall not bear any legend restricting transfer of the Conversion Shares thereby and should not be subject to any stop-transfer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 of written confirmation from the Company’s outside legal counsel that a registration statement covering resales of the Conversion Shares has been declared effective by the Commission under the Securities Act is attached hereto as 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the Holders are relying upon this letter as an inducement to enter into the Agreement and, accordingly, each Holder is a third party beneficiary to these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execute this letter in the space indicated to acknowledge your agreement to act in accordance with these instructions.</w:t>
      </w:r>
    </w:p>
    <w:p>
      <w:pPr>
        <w:pStyle w:val="TextBody"/>
        <w:bidi w:val="0"/>
        <w:spacing w:before="0" w:after="0"/>
        <w:ind w:left="0" w:right="0" w:hanging="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1217"/>
        <w:gridCol w:w="1517"/>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[INSERT NAME OF COMPANY]</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sz w:val="20"/>
              </w:rPr>
            </w:pPr>
            <w:r>
              <w:rPr>
                <w:sz w:val="20"/>
              </w:rPr>
              <w:t>By:</w:t>
            </w:r>
          </w:p>
        </w:tc>
        <w:tc>
          <w:tcPr>
            <w:tcW w:w="151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sz w:val="20"/>
              </w:rPr>
            </w:pPr>
            <w:r>
              <w:rPr>
                <w:sz w:val="20"/>
              </w:rPr>
              <w:t>Name: </w:t>
            </w:r>
          </w:p>
        </w:tc>
        <w:tc>
          <w:tcPr>
            <w:tcW w:w="151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sz w:val="20"/>
              </w:rPr>
            </w:pPr>
            <w:r>
              <w:rPr>
                <w:sz w:val="20"/>
              </w:rPr>
              <w:t>Title:</w:t>
            </w:r>
          </w:p>
        </w:tc>
        <w:tc>
          <w:tcPr>
            <w:tcW w:w="1517"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 OF TRANSFER AGENT]</w:t>
      </w:r>
    </w:p>
    <w:p>
      <w:pPr>
        <w:pStyle w:val="TextBody"/>
        <w:bidi w:val="0"/>
        <w:spacing w:before="0" w:after="0"/>
        <w:ind w:left="0" w:right="0" w:hanging="0"/>
        <w:jc w:val="left"/>
        <w:rPr>
          <w:caps w:val="false"/>
          <w:smallCaps w:val="false"/>
        </w:rPr>
      </w:pPr>
      <w:r>
        <w:rPr>
          <w:caps w:val="false"/>
          <w:smallCaps w:val="false"/>
        </w:rPr>
        <w:t> </w:t>
      </w:r>
    </w:p>
    <w:tbl>
      <w:tblPr>
        <w:tblW w:w="1235" w:type="dxa"/>
        <w:jc w:val="left"/>
        <w:tblInd w:w="0" w:type="dxa"/>
        <w:tblLayout w:type="fixed"/>
        <w:tblCellMar>
          <w:top w:w="0" w:type="dxa"/>
          <w:left w:w="0" w:type="dxa"/>
          <w:bottom w:w="0" w:type="dxa"/>
          <w:right w:w="0" w:type="dxa"/>
        </w:tblCellMar>
      </w:tblPr>
      <w:tblGrid>
        <w:gridCol w:w="560"/>
        <w:gridCol w:w="600"/>
        <w:gridCol w:w="75"/>
      </w:tblGrid>
      <w:tr>
        <w:trPr/>
        <w:tc>
          <w:tcPr>
            <w:tcW w:w="560" w:type="dxa"/>
            <w:tcBorders/>
            <w:vAlign w:val="center"/>
          </w:tcPr>
          <w:p>
            <w:pPr>
              <w:pStyle w:val="TableContents"/>
              <w:bidi w:val="0"/>
              <w:spacing w:before="0" w:after="283"/>
              <w:jc w:val="left"/>
              <w:rPr>
                <w:sz w:val="20"/>
              </w:rPr>
            </w:pPr>
            <w:r>
              <w:rPr>
                <w:sz w:val="20"/>
              </w:rPr>
              <w:t>By:</w:t>
            </w:r>
          </w:p>
        </w:tc>
        <w:tc>
          <w:tcPr>
            <w:tcW w:w="6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Schedule 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OF NOTICE OF EFFECTIVENESS OF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 of Transfer Agent]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 [Insert Name of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counsel to Jasper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have represented the Company in connection with that certain Securities Purchase Agreement, dated as of July [__], 2026, entered into by and among the Company and the purchasers named therein (collectively, the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 pursuant to which the Company issued to the Purchasers shares of the Company’s Series A Non-Voting Convertible Preferred Stock, $0.0001 par value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Pursuant to that certain Registration Rights Agreement of even date, the Company agreed to register the resale of the Company’s common stock, $0.0001 par value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issuable upon conversion of the Shares (the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 connection with the Company’s obligations under the Registration Rights Agreement, ____________ on, __________, the Company filed a Registration Statement on Form S-3 (File No. 333-________)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relating to the Registrable Securities which names each of the Purchasers as a selling stockholder thereunder and set forth as Exhibit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we advise you that a member of the Commission’s staff has advised us by telephone that the Commission has entered an order declaring the Registration Statement effective under the Securities Act at ________ [a.m.][p.m.] on ____________, ___ , and we have no knowledge, after reviewing the Commission’s “</w:t>
      </w:r>
      <w:r>
        <w:rPr>
          <w:rFonts w:ascii="Times New Roman;Times;Serif" w:hAnsi="Times New Roman;Times;Serif"/>
          <w:b/>
          <w:i/>
          <w:caps w:val="false"/>
          <w:smallCaps w:val="false"/>
          <w:sz w:val="20"/>
        </w:rPr>
        <w:t>Stop Orders</w:t>
      </w:r>
      <w:r>
        <w:rPr>
          <w:rFonts w:ascii="Times New Roman;Times;Serif" w:hAnsi="Times New Roman;Times;Serif"/>
          <w:b w:val="false"/>
          <w:i w:val="false"/>
          <w:caps w:val="false"/>
          <w:smallCaps w:val="false"/>
          <w:sz w:val="20"/>
        </w:rPr>
        <w:t>” web page (http://sec.gov/litigation/stoporders.shtml), that any stop order suspending its effectiveness has been issued or that any proceedings for that purpose are pending before, or threatened by, the Commission and the Registrable Securities are available for resale under the Securities Act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serve as our standing notice to you that the Common Stock may be freely transferred by the Purchasers pursuant to the Registration Statement. You need not require further letters from us to effect any future legend-free issuance or reissuance of shares of Common Stock to the Purchasers or the transferees of the Purchasers, as the case may be, as contemplated by the Company’s Irrevocable Transfer Agent Instructions dated July [__], 2026, provided at the time of such reissuance, the Company has not otherwise notified you that the Registration Statement is unavailable for the resale of the Registrable Securities. This letter shall serve as our standing instructions with regard to this matter.</w:t>
      </w:r>
    </w:p>
    <w:p>
      <w:pPr>
        <w:pStyle w:val="TextBody"/>
        <w:bidi w:val="0"/>
        <w:spacing w:before="0" w:after="0"/>
        <w:ind w:left="0" w:right="0" w:hanging="0"/>
        <w:jc w:val="left"/>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75"/>
        <w:gridCol w:w="1254"/>
        <w:gridCol w:w="2410"/>
      </w:tblGrid>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sz w:val="20"/>
              </w:rPr>
            </w:pPr>
            <w:r>
              <w:rPr>
                <w:sz w:val="20"/>
              </w:rPr>
              <w:t>[INSERT NAME OF COMPANY COUNSEL]</w:t>
            </w:r>
          </w:p>
        </w:tc>
      </w:tr>
      <w:tr>
        <w:trPr/>
        <w:tc>
          <w:tcPr>
            <w:tcW w:w="75"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 </w:t>
            </w:r>
          </w:p>
        </w:tc>
        <w:tc>
          <w:tcPr>
            <w:tcW w:w="2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sz w:val="20"/>
              </w:rPr>
            </w:pPr>
            <w:r>
              <w:rPr>
                <w:sz w:val="20"/>
              </w:rPr>
              <w:t>By:</w:t>
            </w:r>
          </w:p>
        </w:tc>
        <w:tc>
          <w:tcPr>
            <w:tcW w:w="241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SECRETARY’S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of Officer’s Certificate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29822901ex10-2.htm"/>
      <w:bookmarkStart w:id="33" w:name="ksea029822901ex102"/>
      <w:bookmarkEnd w:id="32"/>
      <w:bookmarkEnd w:id="33"/>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RIGHTS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is dated as of July 16, 2026, by and among Jasper Therapeutics, Inc.,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the several purchasers signatory hereto (each, including its successors and assigns, a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caps w:val="false"/>
          <w:smallCaps w:val="false"/>
          <w:sz w:val="20"/>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pursuant to the Securities Purchase Agreement, dated as of July 16, 2026, between the Company and each Purchaser (the “</w:t>
      </w:r>
      <w:r>
        <w:rPr>
          <w:rFonts w:ascii="Times New Roman;Times;Serif" w:hAnsi="Times New Roman;Times;Serif"/>
          <w:b w:val="false"/>
          <w:i/>
          <w:caps w:val="false"/>
          <w:smallCaps w:val="false"/>
          <w:sz w:val="20"/>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of the Purchasers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that are defined in the Purchase Agreement shall have the meanings given such terms in the Purchase Agreement.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Advice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means the Company’s common stock, par value $0.0001 per share, and stock of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xml:space="preserve">” means the date that the Registration Statement filed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is first declared effective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Effectiveness Deadline</w:t>
      </w:r>
      <w:r>
        <w:rPr>
          <w:rFonts w:ascii="Times New Roman;Times;Serif" w:hAnsi="Times New Roman;Times;Serif"/>
          <w:b w:val="false"/>
          <w:i w:val="false"/>
          <w:caps w:val="false"/>
          <w:smallCaps w:val="false"/>
          <w:sz w:val="20"/>
        </w:rPr>
        <w:t>” means, with respect to the Initial Registration Statement or the New Registration Statement, the thirtieth (30th) calendar day (or, in the event the Commission reviews the Initial Registration Statement or the New Registration Statement, the sixtieth (60th) calendar day) following the earlier of the Filing Deadline and the date the Initial Registration Statement or the New Registration Statement, as applicable, is filed with the Commission); provided, however, that if the Company is notified by the Commission that the Initial Registration Statement or the New Registration Statement will not be reviewed or is no longer subject to further review and comments, the Effectiveness Deadline as to such Registration Statement shall be the fifth (5th) Trading Day following the date on which the Company is so notified if such date precedes the dates otherwise required above; provided, further, that if the Effectiveness Deadline falls on a Saturday, Sunday or other day that the Commission is closed for business, the Effectiveness Deadline shall be extended to the next Business Day on which the Commission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Effectiveness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Filing Deadline</w:t>
      </w:r>
      <w:r>
        <w:rPr>
          <w:rFonts w:ascii="Times New Roman;Times;Serif" w:hAnsi="Times New Roman;Times;Serif"/>
          <w:b w:val="false"/>
          <w:i w:val="false"/>
          <w:caps w:val="false"/>
          <w:smallCaps w:val="false"/>
          <w:sz w:val="20"/>
        </w:rPr>
        <w:t xml:space="preserve">” means, with respect to the Initial Registration Statement required to be filed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the ninetieth (90th) calendar day following the Closing Date, provided, however, that if the Filing Deadline falls on a Saturday, Sunday or other day that the Commission is closed for business, the Filing Deadline shall be extended to the next business day on which the Commission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means the holder or holders, as the case may be, from time to time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Initial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New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 Market</w:t>
      </w:r>
      <w:r>
        <w:rPr>
          <w:rFonts w:ascii="Times New Roman;Times;Serif" w:hAnsi="Times New Roman;Times;Serif"/>
          <w:b w:val="false"/>
          <w:i w:val="false"/>
          <w:caps w:val="false"/>
          <w:smallCaps w:val="false"/>
          <w:sz w:val="20"/>
        </w:rPr>
        <w:t>” means the Trading Market on which the Common Stock are primarily listed on and quoted for trading, which, as of the Closing Date, shall be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Proceeding</w:t>
      </w:r>
      <w:r>
        <w:rPr>
          <w:rFonts w:ascii="Times New Roman;Times;Serif" w:hAnsi="Times New Roman;Times;Serif"/>
          <w:b w:val="false"/>
          <w:i w:val="false"/>
          <w:caps w:val="false"/>
          <w:smallCaps w:val="false"/>
          <w:sz w:val="20"/>
        </w:rPr>
        <w:t>” means an action, claim, suit, investigation or proceeding (including, without limitation, an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Prospectus</w:t>
      </w:r>
      <w:r>
        <w:rPr>
          <w:rFonts w:ascii="Times New Roman;Times;Serif" w:hAnsi="Times New Roman;Times;Serif"/>
          <w:b w:val="false"/>
          <w:i w:val="false"/>
          <w:caps w:val="false"/>
          <w:smallCaps w:val="false"/>
          <w:sz w:val="20"/>
        </w:rPr>
        <w:t>” means the prospectus included in a Registration Statement (including, without limitation, a prospectus that includes any information previously omitted from a prospectus filed as part of an effective registration statement in reliance upon Rule 430B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Purchase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Purchasers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Registrable Securities</w:t>
      </w:r>
      <w:r>
        <w:rPr>
          <w:rFonts w:ascii="Times New Roman;Times;Serif" w:hAnsi="Times New Roman;Times;Serif"/>
          <w:b w:val="false"/>
          <w:i w:val="false"/>
          <w:caps w:val="false"/>
          <w:smallCaps w:val="false"/>
          <w:sz w:val="20"/>
        </w:rPr>
        <w:t>” means all of (i) the Shares, (ii) any Common Stock issued to a Purchaser on the date hereof pursuant to that certain Agreement and Plan of Merger, dated as of the date hereof, by and among the Company, Kira Merger Sub Inc. and Kira Pharmaceuticals, and (iii) any securities issued or issuable upon any stock split, dividend or other distribution, recapitalization or similar event with respect to the foregoing, provided, that the Holder has completed and delivered to the Company a Selling Shareholder Questionnaire; and provided, further, that with respect to a particular Holder, such Holder’s Shares shall cease to be Registrable Securities upon the earliest to occur of the following: (A) a sale pursuant to a Registration Statement or Rule 144 under the Securities Act (in which case, only such security sold by the Holder shall cease to be a Registrable Security); or (B) becoming eligible for resale by the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Registration Statements</w:t>
      </w:r>
      <w:r>
        <w:rPr>
          <w:rFonts w:ascii="Times New Roman;Times;Serif" w:hAnsi="Times New Roman;Times;Serif"/>
          <w:b w:val="false"/>
          <w:i w:val="false"/>
          <w:caps w:val="false"/>
          <w:smallCaps w:val="false"/>
          <w:sz w:val="20"/>
        </w:rPr>
        <w:t>” means any one or more registration statements of the Company filed under the Securities Act that covers the resale of any of the Registrable Securities pursuant to the provisions of this Agreement (including without limitation the Initial Registration Statement, the New Registration Statement and any Remainder Registration Statements), amendments and supplements to such Registration Statements, including post-effective amendments, all exhibits and all material incorporated by reference or deemed to be incorporated by reference in such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Remainder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172</w:t>
      </w:r>
      <w:r>
        <w:rPr>
          <w:rFonts w:ascii="Times New Roman;Times;Serif" w:hAnsi="Times New Roman;Times;Serif"/>
          <w:b w:val="false"/>
          <w:i w:val="false"/>
          <w:caps w:val="false"/>
          <w:smallCaps w:val="false"/>
          <w:sz w:val="20"/>
        </w:rPr>
        <w:t>” means Rule 172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415</w:t>
      </w:r>
      <w:r>
        <w:rPr>
          <w:rFonts w:ascii="Times New Roman;Times;Serif" w:hAnsi="Times New Roman;Times;Serif"/>
          <w:b w:val="false"/>
          <w:i w:val="false"/>
          <w:caps w:val="false"/>
          <w:smallCaps w:val="false"/>
          <w:sz w:val="20"/>
        </w:rPr>
        <w:t>” means Rule 415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461</w:t>
      </w:r>
      <w:r>
        <w:rPr>
          <w:rFonts w:ascii="Times New Roman;Times;Serif" w:hAnsi="Times New Roman;Times;Serif"/>
          <w:b w:val="false"/>
          <w:i w:val="false"/>
          <w:caps w:val="false"/>
          <w:smallCaps w:val="false"/>
          <w:sz w:val="20"/>
        </w:rPr>
        <w:t>” means Rule 461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 Guidance</w:t>
      </w:r>
      <w:r>
        <w:rPr>
          <w:rFonts w:ascii="Times New Roman;Times;Serif" w:hAnsi="Times New Roman;Times;Serif"/>
          <w:b w:val="false"/>
          <w:i w:val="false"/>
          <w:caps w:val="false"/>
          <w:smallCaps w:val="false"/>
          <w:sz w:val="20"/>
        </w:rPr>
        <w:t>” means (i) any publicly-available written or oral guidance, comments, requirements or requests of the Commission staff; provided, that any such oral guidance, comments, requirements or requests are reduced to writing by the Commission and (ii)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Selling Shareholder Questionnaire</w:t>
      </w:r>
      <w:r>
        <w:rPr>
          <w:rFonts w:ascii="Times New Roman;Times;Serif" w:hAnsi="Times New Roman;Times;Serif"/>
          <w:b w:val="false"/>
          <w:i w:val="false"/>
          <w:caps w:val="false"/>
          <w:smallCaps w:val="false"/>
          <w:sz w:val="20"/>
        </w:rPr>
        <w:t>” means a questionnaire in the form attached as Annex B hereto, or such other form of questionnaire as may reasonably be adopted by the Company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Series A Preferred Stock</w:t>
      </w:r>
      <w:r>
        <w:rPr>
          <w:rFonts w:ascii="Times New Roman;Times;Serif" w:hAnsi="Times New Roman;Times;Serif"/>
          <w:b w:val="false"/>
          <w:i w:val="false"/>
          <w:caps w:val="false"/>
          <w:smallCaps w:val="false"/>
          <w:sz w:val="20"/>
        </w:rPr>
        <w:t>” means the Series A Non-Voting Convertible Preferred Stock, par value $0.0001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means the shares of Common Stock issued and issuable upon conversion of the Series A Preferred Stock held by Purchasers (without regard on any limitation on conversion of the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Trading Day</w:t>
      </w:r>
      <w:r>
        <w:rPr>
          <w:rFonts w:ascii="Times New Roman;Times;Serif" w:hAnsi="Times New Roman;Times;Serif"/>
          <w:b w:val="false"/>
          <w:i w:val="false"/>
          <w:caps w:val="false"/>
          <w:smallCaps w:val="false"/>
          <w:sz w:val="20"/>
        </w:rPr>
        <w:t>” means a day on which the Principal Market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Filing Deadline, the Company shall prepare and file with the Commission a Registration Statement covering the resale of all of the Registrable Securities not then registered on an existing and effective Registration Statement for an offering to be made on a continuous basis pursuant to Rule 415 or, if Rule 415 is not available for offers and sales of the Registrable Securities, by such other means of distribution of Registrable Securities as the Holders may reasonably specify (the “</w:t>
      </w:r>
      <w:r>
        <w:rPr>
          <w:rFonts w:ascii="Times New Roman;Times;Serif" w:hAnsi="Times New Roman;Times;Serif"/>
          <w:b w:val="false"/>
          <w:i/>
          <w:caps w:val="false"/>
          <w:smallCaps w:val="false"/>
          <w:sz w:val="20"/>
        </w:rPr>
        <w:t>Initial Registration Statement</w:t>
      </w:r>
      <w:r>
        <w:rPr>
          <w:rFonts w:ascii="Times New Roman;Times;Serif" w:hAnsi="Times New Roman;Times;Serif"/>
          <w:b w:val="false"/>
          <w:i w:val="false"/>
          <w:caps w:val="false"/>
          <w:smallCaps w:val="false"/>
          <w:sz w:val="20"/>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xml:space="preserve"> and shall contain (except if otherwise required pursuant to written comments received from the Commission upon a review of such Registration Statement) the “Plan of Distribution” section substantially in the form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(which may be modified to respond to comments, if any, provided by the Commission). Notwithstanding the registration obligations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Initial Registration Statement as required by the Commission and/or (ii) withdraw the Initial Registration Statement and file a new registration statement (a “</w:t>
      </w:r>
      <w:r>
        <w:rPr>
          <w:rFonts w:ascii="Times New Roman;Times;Serif" w:hAnsi="Times New Roman;Times;Serif"/>
          <w:b w:val="false"/>
          <w:i/>
          <w:caps w:val="false"/>
          <w:smallCaps w:val="false"/>
          <w:sz w:val="20"/>
        </w:rPr>
        <w:t>New Registration Statement</w:t>
      </w:r>
      <w:r>
        <w:rPr>
          <w:rFonts w:ascii="Times New Roman;Times;Serif" w:hAnsi="Times New Roman;Times;Serif"/>
          <w:b w:val="false"/>
          <w:i w:val="false"/>
          <w:caps w:val="false"/>
          <w:smallCaps w:val="false"/>
          <w:sz w:val="20"/>
        </w:rPr>
        <w:t xml:space="preserve">”), in either case covering the maximum number of Registrable Securities permitted to be registered by the Commission, on Form S-3 or, if the Company is ineligible to register the Registrable Securities on Form S-3, such other form available to register for resale the Registrable Securities as a secondary offering;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prior to filing such amendment or New Registration Statement, the Company shall be obligated to use its commercially reasonable efforts to advocate with the Commission for the registration of all of the Registrable Securities in accordance with the SEC Guidance, including without limitation, the Securities Act Rules Corporation Finance Interpretations Question 612.09. Notwithstanding any other provision of this Agreement, if the Commission or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first be reduced by Registrable Securities not acquired pursuant to the Purchase Agreement (whether pursuant to registration rights or otherwise), and second by Registrable Securities represented by Shares applied to the Holders on a pro rata basis based on the total number of Shares held by such Holders, subject to a determination by the Commission that certain Holders must be reduced first based on the number of Shares held by such Holders. In the event the Company amends the Initial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or the New Registration Statement (the “</w:t>
      </w:r>
      <w:r>
        <w:rPr>
          <w:rFonts w:ascii="Times New Roman;Times;Serif" w:hAnsi="Times New Roman;Times;Serif"/>
          <w:b w:val="false"/>
          <w:i/>
          <w:caps w:val="false"/>
          <w:smallCaps w:val="false"/>
          <w:sz w:val="20"/>
        </w:rPr>
        <w:t>Remainder Registration Statements</w:t>
      </w:r>
      <w:r>
        <w:rPr>
          <w:rFonts w:ascii="Times New Roman;Times;Serif" w:hAnsi="Times New Roman;Times;Serif"/>
          <w:b w:val="false"/>
          <w:i w:val="false"/>
          <w:caps w:val="false"/>
          <w:smallCaps w:val="false"/>
          <w:sz w:val="20"/>
        </w:rPr>
        <w:t>”). No Holder shall be named as an “underwriter” in any Registration Statement without such Holder’s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its commercially reasonable efforts to cause each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promulgated under the Securities Act), and shall use its commercially reasonable efforts to keep each Registration Statement continuously effective under the Securities Act until the earlier of (i) such time as all of the Registrable Securities covered by such Registration Statement have been publicly sold by the Holders; (ii) the date that all Registrable Securities covered by such Registration Statement may be sold by non-affiliates without volume or manner-of-sale restrictions pursuant to Rule 144, without the requirement for the Company to be in compliance with the current public information requirement under Rule 144 as determined by counsel to the Company pursuant to a written opinion letter to such effect, addressed and reasonably acceptable to the Company’s transfer agent or (iii) the expiration of two years from the Effective Date of such Registration Statement (the “</w:t>
      </w:r>
      <w:r>
        <w:rPr>
          <w:rFonts w:ascii="Times New Roman;Times;Serif" w:hAnsi="Times New Roman;Times;Serif"/>
          <w:b w:val="false"/>
          <w:i/>
          <w:caps w:val="false"/>
          <w:smallCaps w:val="false"/>
          <w:sz w:val="20"/>
        </w:rPr>
        <w:t>Effectiveness Period</w:t>
      </w:r>
      <w:r>
        <w:rPr>
          <w:rFonts w:ascii="Times New Roman;Times;Serif" w:hAnsi="Times New Roman;Times;Serif"/>
          <w:b w:val="false"/>
          <w:i w:val="false"/>
          <w:caps w:val="false"/>
          <w:smallCaps w:val="false"/>
          <w:sz w:val="20"/>
        </w:rPr>
        <w:t>”). The Company shall request effectiveness of a Registration Statement as of 4:00 P.M. New York City time on a Trading Day. The Company shall promptly notify the Holders via e-mail of the effectiveness of a Registration Statement or any post-effective amendment thereto on the same Trading Day that the Company telephonically confirms effectiveness with the Commission, which date of confirmation shall initially be the date requested for effectiveness of such Registration Statement. The Company shall, by 9:30 A.M. New York City time on the first Trading Day after the Effective Date, file a final Prospectus with the Commission, as required by Rule 424(b) and shall provide the Purchasers with copies of the final Prospectus to be used in connection with the sale or other disposition of the securities covered thereby. The Company shall promptly inform each Holder in writing if, at any time during the Effectiveness Period, the Company does not satisfy the conditions specified in Rule 172 and, as a result thereof, the Holder is required to deliver a Prospectus in connection with any disposition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 the Initial Registration Statement is not filed with the Commission on or prior to the Filing Deadline, (ii) the Initial Registration Statement or the New Registration Statement, as applicable, is not declared effective by the Commission (or otherwise does not become effective) for any reason on or prior to the Effectiveness Deadline, or (iii) after its Effective Date and except for the reasons as set forth in Section 3(h), (A) such Registration Statement ceases for any reason (including, without limitation, by reason of a stop order or the Company’s failure to update the Registration Statement), to remain continuously effective as to all Registrable Securities included in such Registration Statement or (B) the Holders are not permitted to utilize the Prospectus therein to resell such Registrable Securities for any reason (other than due to a change in the “Plan of Distribution” or the inaccuracy of any information regarding the Holders), in each case, for more than an aggregate of 30 consecutive calendar days or 45 calendar days (which need not be consecutive days) during any 12-month period (other than as a result of a breach of this Agreement by a Holder or a Holder’s failure to return a Selling Shareholder Questionnaire within the time period provided by Section 2(d) hereof) (any such failure or breach in clauses (i) through (iii) above being referred to as an “</w:t>
      </w:r>
      <w:r>
        <w:rPr>
          <w:rFonts w:ascii="Times New Roman;Times;Serif" w:hAnsi="Times New Roman;Times;Serif"/>
          <w:b w:val="false"/>
          <w:i/>
          <w:caps w:val="false"/>
          <w:smallCaps w:val="false"/>
          <w:sz w:val="20"/>
        </w:rPr>
        <w:t>Event</w:t>
      </w:r>
      <w:r>
        <w:rPr>
          <w:rFonts w:ascii="Times New Roman;Times;Serif" w:hAnsi="Times New Roman;Times;Serif"/>
          <w:b w:val="false"/>
          <w:i w:val="false"/>
          <w:caps w:val="false"/>
          <w:smallCaps w:val="false"/>
          <w:sz w:val="20"/>
        </w:rPr>
        <w:t>,” and, for purposes of clauses (i) or (ii), the date on which such Event occurs, or for purposes of clause (iii), the date on which such 30 or 45 calendar day period is exceeded, being referred to as an “</w:t>
      </w:r>
      <w:r>
        <w:rPr>
          <w:rFonts w:ascii="Times New Roman;Times;Serif" w:hAnsi="Times New Roman;Times;Serif"/>
          <w:b w:val="false"/>
          <w:i/>
          <w:caps w:val="false"/>
          <w:smallCaps w:val="false"/>
          <w:sz w:val="20"/>
        </w:rPr>
        <w:t>Event Date</w:t>
      </w:r>
      <w:r>
        <w:rPr>
          <w:rFonts w:ascii="Times New Roman;Times;Serif" w:hAnsi="Times New Roman;Times;Serif"/>
          <w:b w:val="false"/>
          <w:i w:val="false"/>
          <w:caps w:val="false"/>
          <w:smallCaps w:val="false"/>
          <w:sz w:val="20"/>
        </w:rPr>
        <w:t>”), then in addition to any other rights the Holders may have hereunder or under applicable law: (x) within five (5) Business Days after an Event Date relating to a failure in clause (i) only, the Company shall pay to each Holder an amount in cash, as liquidated damages and not as a penalty, equal to 1.0% of the aggregate purchase price paid by such Holder pursuant to the Purchase Agreement for any Registrable Securities held by such Holder on such Event Date; and (y) on each 30-day anniversary (or pro rata portion thereof) following any Event Date (including, for the avoidance of doubt, a failure in clause (i), in which case each 30-day anniversary shall be measured commencing on the 31st day following such Event Date) until the earlier of (1) the applicable Event is cured or (2) the Registrable Securities are eligible for resale pursuant to Rule 144 without manner of sale or volume restrictions, the Company shall pay to each Holder an amount in cash, as liquidated damages and not as a penalty, equal to 1.0% of the aggregate purchase price paid by such Holder pursuant to the Purchase Agreement for any unregistered Registrable Securities then held by such Holder. The amounts payable pursuant to the foregoing clauses (x) and (y) are referred to collectively as “</w:t>
      </w:r>
      <w:r>
        <w:rPr>
          <w:rFonts w:ascii="Times New Roman;Times;Serif" w:hAnsi="Times New Roman;Times;Serif"/>
          <w:b w:val="false"/>
          <w:i/>
          <w:caps w:val="false"/>
          <w:smallCaps w:val="false"/>
          <w:sz w:val="20"/>
        </w:rPr>
        <w:t>Liquidated Damages</w:t>
      </w:r>
      <w:r>
        <w:rPr>
          <w:rFonts w:ascii="Times New Roman;Times;Serif" w:hAnsi="Times New Roman;Times;Serif"/>
          <w:b w:val="false"/>
          <w:i w:val="false"/>
          <w:caps w:val="false"/>
          <w:smallCaps w:val="false"/>
          <w:sz w:val="20"/>
        </w:rPr>
        <w:t>.” The parties agree that (1) notwithstanding anything to the contrary herein or in the Purchase Agreement, no Liquidated Damages shall be payable with respect to any period after the expiration of the Effectiveness Period and in no event shall the aggregate amount of Liquidated Damages payable to a Holder exceed, in the aggregate, 5.0% of the aggregate purchase price paid by such Holder pursuant to the Purchase Agreement and (2) in no event shall the Company be liable in any 30-day period for Liquidated Damages under this Agreement in excess of 1.0% of the aggregate purchase price paid by the Holders pursuant to the Purchase Agreement. If the Company fails to pay any Liquidated Damages pursuant to this Section 2(c) in full within ten (10) Business Days after the date payable, the Company will pay interest thereon at a rate of 1.0% per month (or such lesser maximum amount that is permitted to be paid by applicable law) (or pro rata portion thereof) to the Holder, accruing daily from the date such Liquidated Damages are due until such amounts, plus all such interest thereon, are paid in full. Unless otherwise specified in Section 2(c), the Liquidated Damages pursuant to the terms hereof shall apply on a daily pro-rata basis for any portion of a month prior to the cure of an Event, except in the case of the first Event Date. Notwithstanding the foregoing, nothing shall preclude any Holder from pursuing or obtaining any available remedies at law, specific performance or other equitable relief with respect to this Section 2(c) in accordance with applicable law. The Company shall not be liable for Liquidated Damages under this Agreement as to any Registrable Securities which are not permitted by the Commission to be included in a Registration Statement due solely to SEC Guidance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from the time that it is determined that such Registrable Securities are not permitted to be registered until such time as the provisions of this Agreement as to the Remainder Registration Statements required to be filed hereunder are triggered, in which case the provisions of this Section 2(c) shall once again apply, if applicable. In such case, the Liquidated Damages shall be calculated to only apply to the percentage of Registrable Securities which are permitted in accordance with SEC Guidance to be included in such Registration Statement. The Effectiveness Deadline for a Registration Statement shall be extended without default or Liquidated Damages hereunder in the event that the Company’s failure to obtain the effectiveness of the Registration Statement on a timely basis results from the failure of a Holder to timely provide the Company with information requested by the Company and necessary to complete the Registration Statement in accordance with the requirements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8913" w:type="dxa"/>
        <w:jc w:val="left"/>
        <w:tblInd w:w="0" w:type="dxa"/>
        <w:tblLayout w:type="fixed"/>
        <w:tblCellMar>
          <w:top w:w="0" w:type="dxa"/>
          <w:left w:w="0" w:type="dxa"/>
          <w:bottom w:w="0" w:type="dxa"/>
          <w:right w:w="0" w:type="dxa"/>
        </w:tblCellMar>
      </w:tblPr>
      <w:tblGrid>
        <w:gridCol w:w="38"/>
        <w:gridCol w:w="125"/>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8750" w:type="dxa"/>
            <w:tcBorders/>
            <w:vAlign w:val="center"/>
          </w:tcPr>
          <w:p>
            <w:pPr>
              <w:pStyle w:val="TableContents"/>
              <w:bidi w:val="0"/>
              <w:spacing w:before="0" w:after="283"/>
              <w:jc w:val="both"/>
              <w:rPr/>
            </w:pPr>
            <w:r>
              <w:rPr/>
              <w:t>NTD: Section (a) provides that liquidated damages would in fact be payable in this scenario.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Holder agrees to furnish to the Company a completed Selling Shareholder Questionnaire not more than five (5) Trading Days following the date of this Agreement. At least ten (10) Trading Days prior to the first anticipated filing date of a Registration Statement for any registration under this Agreement, the Company will notify each Holder of the information the Company requires from that Holder other than the information contained in the Selling Shareholder Questionnaire, if any, which shall be completed and delivered to the Company promptly upon request and, in any event, within three (3)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returned to the Company a completed and signed Selling Shareholder Questionnaire and a response to any reasonable requests for further information as described in the previous sentence. If a Holder of Registrable Securities returns a Selling Shareholder Questionnaire or a request for further information, in either case, after its respective deadline, the Company shall use its commercially reasonable efforts to take such actions as are required to name such Holder as a selling security holder in the Registration Statement or any pre-effective or post-effective amendment thereto and to include (to the extent not theretofore included) in the Registration Statement the Registrable Securities identified in such late Selling Shareholder Questionnaire or request for further information. Each Holder acknowledges and agrees that the information in the Selling Shareholder Questionnaire or request for further information as described in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will be used by the Company in the preparation of the Registration Statement and hereby consents to the inclusion of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Registration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less than five (5) Trading Days prior to the filing of each Registration Statement and not less than one (1) Trading Day prior to the filing of any related Prospectus or any amendment or supplement thereto (except for Annual Reports on Form 10-K, and Quarterly Reports on Form 10-Q and Current Reports on Form 8-K and any similar or successor reports), (i) furnish to each Holder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five (5) Trading Day or one (1) Trading Day period, as the case may be, then the Holder shall be deemed to have consented to and approved the use of such documents)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any Registration Statement or amendment or supplement thereto in a form to which a Holder reasonably objects in good faith, provided that, the Company is notified of such objection in writing within the five (5) Trading Day or one (1) Trading Day period described above,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Prepare and file with the Commission such amendments (including post-effective amendments) and supplements, to each Registration Statement and the Prospectus used in connection therewith as may be necessary to keep such Registration Statement continuously effective as to the applicable Registrable Securities for its Effectiveness Period;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Commission with respect to each Registration Statement or any amendment thereto and, as promptly as reasonably possible, provide the Holders true and complete copies of all correspondence from and to the Commission relating to such Registration Statement that pertains to the Holders as “Selling Stockholders” but not any comments that would result in the disclosure to the Holders of material and non-public information concerning the Company (unless such Holder consents in writing in advance to receive such material and non-public information); and (iv)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provided, however, that each Purchaser shall be responsible for the delivery of the Prospectus to the Persons to whom such Purchaser sells any of the Shares (including in accordance with Rule 172 under the Securities Act), and each Purchaser agrees to dispose of Registrable Securities in compliance with the “Plan of Distribution” described in the Registration Statement and otherwise in compliance with applicable federal and state securities laws. In the case of amendments and supplements to a Registration Statement which are required to be filed pursuant to this Agreement (including pursuant to this Section 3(b)) by reason of the Company filing a report on Form 10-K, Form 10-Q or Form 8-K or any analogous report under the Exchange Act, the Company shall have incorporated such report by reference into such Registration Statement, if applicable, or shall file such amendments or supplements with the Commission on the same day on which the Exchange Act report which created the requirement for the Company to amend or supplement such Registration Statement was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Notify the Holders of Registrable Securities to be sold (which notice shall, pursuant to clauses (iii) through (vi) hereof, be accompanied by an instruction to suspend the use of the Prospectus until the requisite changes have been made) as promptly as reasonably practicable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the Holders as a “Selling Stockholder” or to the “Plan of Distribution” and all written responses thereto, but not information that the Company believes would constitute material and non-public information); and (C) with respect to each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that pertains to the Holders as “Selling Stockholders”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or incorporated by reference in a Registration Statement ineligible for inclusion or incorporation by reference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upon the advice of legal counsel, the Company’s board of directors reasonably believes may be material and that, in the reasonable determination of the Company’s board of directors, makes it not in the best interest of the Company to allow continued availability of a Registration Statement or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and all such information shall not subject the Holders to any duty of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Use commercially reasonable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as soon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requested by a Holder, furnish to such Holder, without charge, at least one conformed copy of each Registration Statement and each amendment thereto and all exhibits to the extent requested by such Person (including those previously furnished or incorporated by reference) promptly after the filing of such documents with the Commission;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shall have no obligation to provide any document pursuant to this clause that is available on the Commission’s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Cooperate with such Holder to facilitate the timely preparation and delivery of certificates or book entry statements, as applicable, representing Registrable Securities to be delivered to a transferee pursuant to the Registration Statement, which certificates or statements shall be free, to the extent permitted by the Purchase Agreement and under law, of all restrictive legends, including providing an opinion of Company counsel if required by the Company's transfer agent, and to enable such Registrable Securities to be in such denominations and registered in such names as any such Holders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Following the occurrence of any event contemplated by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as promptly as reasonably practicable (taking into account the Company’s good faith assessment of any adverse consequences to the Company and its shareholders of the premature disclosure of such event),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 (vi) of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Times New Roman;Times;Serif" w:hAnsi="Times New Roman;Times;Serif"/>
          <w:b w:val="false"/>
          <w:i w:val="false"/>
          <w:caps w:val="false"/>
          <w:smallCaps w:val="false"/>
          <w:sz w:val="20"/>
          <w:u w:val="single"/>
        </w:rPr>
        <w:t>Section 3(h)</w:t>
      </w:r>
      <w:r>
        <w:rPr>
          <w:rFonts w:ascii="Times New Roman;Times;Serif" w:hAnsi="Times New Roman;Times;Serif"/>
          <w:b w:val="false"/>
          <w:i w:val="false"/>
          <w:caps w:val="false"/>
          <w:smallCaps w:val="false"/>
          <w:sz w:val="20"/>
        </w:rPr>
        <w:t xml:space="preserve"> to suspend the availability of a Registration Statement and Prospectus for no more than twice and for a period not to exceed 30 consecutive calendar days or 45 calendar days (which need not be consecutive days), in each case, in any 12-month period without incurring liability for Liquidated Damages otherwise required pursuant to Section 2(c). For the avoidance of doubt, the Company’s rights under this Section 3(h) shall include suspensions of availability arising from the filing of a post-effective amendment to a Registration Statement to update the Prospectus therein to include the information contained in the Company’s Annual Report on Form 10-K, which suspensions may extend for the amount of time reasonably required to respond to any comments of the staff of the Commission on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require each selling Holder to furnish to the Company a certified statement as to (i) the number of shares of Common Stock beneficially owned by such Holder and any Affiliate thereof, (ii) any Financial Industry Regulatory Authority (“</w:t>
      </w:r>
      <w:r>
        <w:rPr>
          <w:rFonts w:ascii="Times New Roman;Times;Serif" w:hAnsi="Times New Roman;Times;Serif"/>
          <w:b w:val="false"/>
          <w:i/>
          <w:caps w:val="false"/>
          <w:smallCaps w:val="false"/>
          <w:sz w:val="20"/>
        </w:rPr>
        <w:t>FINRA</w:t>
      </w:r>
      <w:r>
        <w:rPr>
          <w:rFonts w:ascii="Times New Roman;Times;Serif" w:hAnsi="Times New Roman;Times;Serif"/>
          <w:b w:val="false"/>
          <w:i w:val="false"/>
          <w:caps w:val="false"/>
          <w:smallCaps w:val="false"/>
          <w:sz w:val="20"/>
        </w:rPr>
        <w:t>”) affiliations, (iii) any natural persons who have the power to vote or dispose of the Common Stock and (iv) any other information as may be requested by the Commission, FINRA or any state securities commission. During any periods that the Company is unable to meet its obligations hereunder with respect to the registration of Registrable Securities because any Holder fails to furnish such information within three (3)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 provided, however, if the failure of the Holder to furnish the required information results in the occurrence of an Event under 2(c), any Liquidated Damages that are accruing at such time as to such Holder only shall be tolled and any such Event that occurs as a result thereof as to such Holder only shall be suspended until such time as such Holder furnishes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cooperate with any registered broker through which a Holder proposes to resell its Registrable Securities in effecting a filing with FINRA pursuant to FINRA Rule 5110 as requested by any such Holder and the Company shall pay the filing fee required for the first such filing within two (2) Business Days of the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fees and expenses incident to the Company’s performance of or compliance with its obligations under this Agreement (excluding any underwriting discounts and selling commissions and all legal fees and expenses of legal counsel for any Holder)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any Trading Market on which the Common Stock are then listed for trading, (B) with respect to compliance with applicable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in connection with Section 3(j) above, with respect to any filing that may be required to be made by any broker through which a Holder intends to make sales of Registrable Securities with FINRA pursuant to the FINRA Rule 5110,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Transaction Documents, any legal fees or other costs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notwithstanding any termination of this Agreement, indemnify, defend and hold harmless each Holder, the officers, directors, agents, partners, members, managers, stockholders, Affiliates, investment advisers and employees of each of them, each Person who controls any such Holder (within the meaning of Section 15 of the Securities Act or Section 20 of the Exchange Act) and the officers, directors, partners, members, managers, stockholders, agents, investment advisers and employees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as incurred, that arise out of or are based upon (i)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the Exchange Act or any state securities law or any rule or regulation thereunder, in connection with the performance of its obligations under this Agreement, except to the extent, but only to the extent, that (A)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(it being understood that each Holder has approved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for this purpose) or (B) in the case of an occurrence of an event of the type specified in Section 3(c)(iii)-(vi), related to the use by a Holder of an outdated or defective Prospectus after the Company has notified such Holder in writing that the Prospectus is outdated or defective and prior to the receipt by such Holder of the Advice contemplated and defined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below, to the extent that following the receipt of the Advice the misstatement or omission giving rise to such Loss would have been corrected or (C) to the extent that any such Losses arise out of the Purchaser’s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and shall survive the transfer of the Registrable Securities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solely upon information regarding such Holder furnished in writing to the Company by such Holder expressly for use therein or (ii) to the extent that such information relates to such Holder or such Holder’s proposed method of distribution of Registrable Securities and was reviewed and approved in writing by such Holder expressly for use in a Registration Statement (it being understood that the Holder has approved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for this purpose), such Prospectus or such form of Prospectus or in any amendment or supplement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an occurrence of an event of the type specified in </w:t>
      </w:r>
      <w:r>
        <w:rPr>
          <w:rFonts w:ascii="Times New Roman;Times;Serif" w:hAnsi="Times New Roman;Times;Serif"/>
          <w:b w:val="false"/>
          <w:i w:val="false"/>
          <w:caps w:val="false"/>
          <w:smallCaps w:val="false"/>
          <w:sz w:val="20"/>
          <w:u w:val="single"/>
        </w:rPr>
        <w:t>Section 3(c)(iii)-(vi)</w:t>
      </w:r>
      <w:r>
        <w:rPr>
          <w:rFonts w:ascii="Times New Roman;Times;Serif" w:hAnsi="Times New Roman;Times;Serif"/>
          <w:b w:val="false"/>
          <w:i w:val="false"/>
          <w:caps w:val="false"/>
          <w:smallCaps w:val="false"/>
          <w:sz w:val="20"/>
        </w:rPr>
        <w:t xml:space="preserve">, to the extent related to the use by such Holder of an outdated or defective Prospectus after the Company has notified such Holder in writing that the Prospectus is outdated or defective and prior to the receipt by such Holder of the Advice contemplated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In no event shall the liability of any selling Holder hereunder be greater in amount than the dollar amount of the net proceeds received by such Holder upon the sale of the Registrable Securities giving rise to such indemnification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in writing, and the Indemnifying Party shall have the right to assume the defense thereof, including the employment of counsel reasonably satisfactory to the Indemnified Party and the payment of all reasonable fees and expenses incurred in connection with defense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Indemnified Party shall have the right to employ separate counsel in any such Proceeding and to participate in the defense thereof, but the fees and expenses of such counsel shall be at the expense of such Indemnified Party or Indemnified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Indemnifying Party shall not be liable for the fees and expenses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of this Agreement, all fees and expenses of the Indemnified Party (including reasonable fees and expenses to the extent incurred in connection with investigating or preparing to defend such Proceeding in a manner not inconsistent with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be paid to the Indemnified Party, as incurred, within twenty (20) Trading Days of written notice thereof to the Indemnifying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Indemnified Party shall promptly reimburse the Indemnifying Party for that portion of such fees and expenses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except to the extent that the Indemnifying Party is materially and adversely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a claim for indemnification under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5(b)</w:t>
      </w:r>
      <w:r>
        <w:rPr>
          <w:rFonts w:ascii="Times New Roman;Times;Serif" w:hAnsi="Times New Roman;Times;Serif"/>
          <w:b w:val="false"/>
          <w:i w:val="false"/>
          <w:caps w:val="false"/>
          <w:smallCaps w:val="false"/>
          <w:sz w:val="20"/>
        </w:rPr>
        <w:t xml:space="preserve">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was available to such party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xml:space="preserve">, (A)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indemnity and contribution agreements contained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are in addition to any liability that the Indemnifying Parties may have to the Indemnified Parties and are not in diminution or limitation of the indemnification provisions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seek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Piggyback on Registrations; Prohibition on Filing Other Registration Statements</w:t>
      </w:r>
      <w:r>
        <w:rPr>
          <w:rFonts w:ascii="Times New Roman;Times;Serif" w:hAnsi="Times New Roman;Times;Serif"/>
          <w:b w:val="false"/>
          <w:i w:val="false"/>
          <w:caps w:val="false"/>
          <w:smallCaps w:val="false"/>
          <w:sz w:val="20"/>
        </w:rPr>
        <w:t>. Except and to the extent specified in the Purchase Agreement, neither the Company nor any of its security holders (other than the Holders in such capacity pursuant hereto) may include securities of the Company in a Registration Statement other than the Registrable Securities and the Company shall not prior to the Effective Date enter into any agreement providing any such right to any of its security holders. For the avoidance of doubt, the provisions of this Agreement shall not impact the terms of any lock-up agreement entered into by Purchaser for the benefit of the Company on or about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Discontinued Disposition</w:t>
      </w:r>
      <w:r>
        <w:rPr>
          <w:rFonts w:ascii="Times New Roman;Times;Serif" w:hAnsi="Times New Roman;Times;Serif"/>
          <w:b w:val="false"/>
          <w:i w:val="false"/>
          <w:caps w:val="false"/>
          <w:smallCaps w:val="false"/>
          <w:sz w:val="20"/>
        </w:rPr>
        <w:t xml:space="preserve">. By its acquisition of Registrable Securities, each Holder agrees that, upon receipt of a notice from the Company of the occurrence of any event of the kind described in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such Holder will forthwith discontinue disposition of such Registrable Securities under a Registration Statement until it is advised in writing (the “</w:t>
      </w:r>
      <w:r>
        <w:rPr>
          <w:rFonts w:ascii="Times New Roman;Times;Serif" w:hAnsi="Times New Roman;Times;Serif"/>
          <w:b w:val="false"/>
          <w:i/>
          <w:caps w:val="false"/>
          <w:smallCaps w:val="false"/>
          <w:sz w:val="20"/>
        </w:rPr>
        <w:t>Advice</w:t>
      </w:r>
      <w:r>
        <w:rPr>
          <w:rFonts w:ascii="Times New Roman;Times;Serif" w:hAnsi="Times New Roman;Times;Serif"/>
          <w:b w:val="false"/>
          <w:i w:val="false"/>
          <w:caps w:val="false"/>
          <w:smallCaps w:val="false"/>
          <w:sz w:val="20"/>
        </w:rPr>
        <w:t xml:space="preserve">”) by the Company that the use of the applicable Prospectus (as it may have been supplemented or amended) may be resumed; provided, for the avoidance of doubt, that the foregoing shall not limit the right of any Holder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Holder's receipt of such notice. The Company will use its commercially reasonable efforts to ensure that the use of the Prospectus may be resumed as promptly as is practicable. Notwithstanding anything herein to the contrary, no Holder shall be required to discontinue disposition of Registrable Securities under a Registration Statement by virtue of the delivery by the Company of a notice of the occurrence of any event of the kind described in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on more than two occasions or for more than thirty (30) consecutive calendar days or for more than 45 calendar days (which need not be consecutive days), in each case, during any twelve-month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Neither the Company nor any of its subsidiaries has entered, as of the date hereof, nor shall the Company or any of its subsidiaries, on or after the date hereof, enter into any agreement with respect to its securities, that would have the effect of impairing the rights granted to the Holders in this Agreement or otherwise conflicts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The provisions of this Agreement, including the provisions of this sentence, may not be amended, modified or supplemented, or waived unless the same shall be in writing and signed by the Company and Holders holding no less than a majority of the then outstanding Registrable Securities, provided that any party may give a waiver as to itself. Notwithstanding the foregoing,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provisions of this sentence may not be amended, modified, or supplemented except in accordance with the provisions of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 substantially all of the Company’s assets) or obligations hereunder without the prior written consent of all the Holders of the then outstanding Registrable Securities. Each Holder may assign its respective rights hereunder in the manner and to the Persons as permitted under the Purchase Agreement; provided in each case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 (ii) the Company is, within a reasonable time after such transfer or assignment, furnished with written notice of the name and address of such transferee or 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determined in accordance with the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and shall not limit or otherwise affect the meaning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the Securities pursuant to the Transaction Documents has been made independently of any other Purchaser. Nothing contained herein or in any other agreement or document delivered at any closing, and no action taken by any Purchaser pursuant hereto or thereto, shall be deemed to constitute the Purchasers as a partnership, an association, a joint venture or any other kind of entity, or create a presumption that the Purchasers are in any way acting in concert with respect to such obligations or the transactions contemplated by this Agreement.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protect and enforce its rights, including, without limitation, the rights arising out of this Agreement,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Opt-Out Notice</w:t>
      </w:r>
      <w:r>
        <w:rPr>
          <w:rFonts w:ascii="Times New Roman;Times;Serif" w:hAnsi="Times New Roman;Times;Serif"/>
          <w:b w:val="false"/>
          <w:i w:val="false"/>
          <w:caps w:val="false"/>
          <w:smallCaps w:val="false"/>
          <w:sz w:val="20"/>
        </w:rPr>
        <w:t>. Each Holder may deliver written notice (an “</w:t>
      </w:r>
      <w:r>
        <w:rPr>
          <w:rFonts w:ascii="Times New Roman;Times;Serif" w:hAnsi="Times New Roman;Times;Serif"/>
          <w:b w:val="false"/>
          <w:i/>
          <w:caps w:val="false"/>
          <w:smallCaps w:val="false"/>
          <w:sz w:val="20"/>
        </w:rPr>
        <w:t>Opt-Out Notice</w:t>
      </w:r>
      <w:r>
        <w:rPr>
          <w:rFonts w:ascii="Times New Roman;Times;Serif" w:hAnsi="Times New Roman;Times;Serif"/>
          <w:b w:val="false"/>
          <w:i w:val="false"/>
          <w:caps w:val="false"/>
          <w:smallCaps w:val="false"/>
          <w:sz w:val="20"/>
        </w:rPr>
        <w:t xml:space="preserve">”) to the Company requesting that such Holder not receive notices from the Company otherwise required by Section 3;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Holder may later revoke any such Opt-Out Notice in writing. Following receipt of an Opt-Out Notice from a Holder (unless subsequently revoked), (a) the Company shall not deliver any notices pursuant to Section 3 to such Holder and such Holder shall no longer be entitled to the rights associated with any such notice and (b) each time prior to such Holder’s intended use of an effective Registration Statement, such Holder will notify the Company in writing at least two (2) Business Days in advance of such intended use, and if a notice of a delay or suspension was previously delivered (or would have been delivered but for the provisions of this Section 6(o)) and the related suspension period remains in effect, the Company will so notify such Holder, within one (1) Business Day of such Holder’s notification to the Company, by delivering to such Holder a copy of such previous notice of a delay or suspension, and thereafter will provide such Holder with the related notice of the conclusion of such delay or suspension immediately upon the conclusion thereof (which notices shall not contain any material nonpublic information or subject such Holder to any duty of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With a view to making available to the Holders the benefits of Rule 144 (or its successor rule) and any other rule or regulation of the Commission that may at any time permit the Holders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use commercially reasonable efforts to file with the Commission in a timely manner all reports and other documents required of the Company under the Exchange Act; (iii) furnish electronically to each Holder upon request, as long as such Holder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Holder of any rule or regulation of the Commission that permits the selling of any such Registrable Securities without registration.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75"/>
        <w:gridCol w:w="903"/>
        <w:gridCol w:w="1741"/>
      </w:tblGrid>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sz w:val="20"/>
              </w:rPr>
            </w:pPr>
            <w:r>
              <w:rPr>
                <w:sz w:val="20"/>
              </w:rPr>
              <w:t>JASPER THERAPEUTICS, INC.</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20"/>
              </w:rPr>
            </w:pPr>
            <w:r>
              <w:rPr>
                <w:sz w:val="20"/>
              </w:rPr>
              <w:t>By:</w:t>
            </w:r>
          </w:p>
        </w:tc>
        <w:tc>
          <w:tcPr>
            <w:tcW w:w="174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1041"/>
        <w:gridCol w:w="16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caps w:val="false"/>
                <w:smallCaps w:val="false"/>
              </w:rPr>
            </w:pPr>
            <w:r>
              <w:rPr>
                <w:caps w:val="false"/>
                <w:smallCaps w:val="false"/>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3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caps w:val="false"/>
                <w:smallCaps w:val="false"/>
              </w:rPr>
            </w:pPr>
            <w:r>
              <w:rPr>
                <w:caps w:val="false"/>
                <w:smallCaps w:val="false"/>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caps w:val="false"/>
                <w:smallCaps w:val="false"/>
              </w:rPr>
            </w:pPr>
            <w:r>
              <w:rPr>
                <w:caps w:val="false"/>
                <w:smallCaps w:val="false"/>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3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149" w:type="dxa"/>
        <w:jc w:val="left"/>
        <w:tblInd w:w="0" w:type="dxa"/>
        <w:tblLayout w:type="fixed"/>
        <w:tblCellMar>
          <w:top w:w="0" w:type="dxa"/>
          <w:left w:w="0" w:type="dxa"/>
          <w:bottom w:w="0" w:type="dxa"/>
          <w:right w:w="0" w:type="dxa"/>
        </w:tblCellMar>
      </w:tblPr>
      <w:tblGrid>
        <w:gridCol w:w="75"/>
        <w:gridCol w:w="768"/>
        <w:gridCol w:w="1306"/>
      </w:tblGrid>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sz w:val="20"/>
              </w:rPr>
            </w:pPr>
            <w:r>
              <w:rPr>
                <w:sz w:val="20"/>
              </w:rPr>
              <w:t>ADDRESS FOR NOTICE</w:t>
            </w:r>
          </w:p>
        </w:tc>
      </w:tr>
      <w:tr>
        <w:trPr/>
        <w:tc>
          <w:tcPr>
            <w:tcW w:w="75"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sz w:val="20"/>
              </w:rPr>
            </w:pPr>
            <w:r>
              <w:rPr>
                <w:sz w:val="20"/>
              </w:rPr>
              <w:t>c/o:</w:t>
            </w:r>
          </w:p>
        </w:tc>
        <w:tc>
          <w:tcPr>
            <w:tcW w:w="130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both"/>
              <w:rPr/>
            </w:pPr>
            <w:r>
              <w:rPr/>
              <w:t>Street: </w:t>
            </w:r>
          </w:p>
        </w:tc>
        <w:tc>
          <w:tcPr>
            <w:tcW w:w="130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sz w:val="20"/>
              </w:rPr>
            </w:pPr>
            <w:r>
              <w:rPr>
                <w:sz w:val="20"/>
              </w:rPr>
              <w:t>City/State/Zip:</w:t>
            </w:r>
          </w:p>
        </w:tc>
      </w:tr>
    </w:tbl>
    <w:p>
      <w:pPr>
        <w:pStyle w:val="TextBody"/>
        <w:bidi w:val="0"/>
        <w:spacing w:before="0" w:after="283"/>
        <w:jc w:val="left"/>
        <w:rPr/>
      </w:pPr>
      <w:r>
        <w:rPr/>
        <w:t> </w:t>
      </w:r>
    </w:p>
    <w:tbl>
      <w:tblPr>
        <w:tblW w:w="950" w:type="dxa"/>
        <w:jc w:val="left"/>
        <w:tblInd w:w="0" w:type="dxa"/>
        <w:tblLayout w:type="fixed"/>
        <w:tblCellMar>
          <w:top w:w="0" w:type="dxa"/>
          <w:left w:w="0" w:type="dxa"/>
          <w:bottom w:w="0" w:type="dxa"/>
          <w:right w:w="0" w:type="dxa"/>
        </w:tblCellMar>
      </w:tblPr>
      <w:tblGrid>
        <w:gridCol w:w="75"/>
        <w:gridCol w:w="875"/>
      </w:tblGrid>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20"/>
              </w:rPr>
            </w:pPr>
            <w:r>
              <w:rPr>
                <w:sz w:val="20"/>
              </w:rPr>
              <w:t>Attention:</w:t>
            </w:r>
          </w:p>
        </w:tc>
      </w:tr>
    </w:tbl>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75"/>
        <w:gridCol w:w="560"/>
        <w:gridCol w:w="75"/>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 xml:space="preserve">Tel: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Fax:</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Email:</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ANNEX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of Jasper Therapeutics, Inc., par value of $0.0001 per share, or the Common Stock, which we refer to herein as Shares, issued to the selling stockholders to permit the resale of these Shares by the holders of the Shares from time to time after the date of this prospectus. We will not receive any of the proceeds from the sale by the selling stockholders of the Shares. We will, or will procure to, bear all fees and expenses incident to our obligation to register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all or a portion of the Shares beneficially owned by them and offered hereby from time to time directly or through one or more underwriters, broker-dealers or agents. If the Shares are sold through underwriters or broker-dealers, the selling stockholders will be responsible for underwriting discounts or commissions or agent’s commissions. The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sz w:val="20"/>
              </w:rPr>
            </w:pPr>
            <w:r>
              <w:rPr>
                <w:sz w:val="20"/>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sz w:val="20"/>
              </w:rPr>
            </w:pPr>
            <w:r>
              <w:rPr>
                <w:sz w:val="20"/>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sz w:val="20"/>
              </w:rPr>
            </w:pPr>
            <w:r>
              <w:rPr>
                <w:sz w:val="20"/>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sz w:val="20"/>
              </w:rPr>
            </w:pPr>
            <w:r>
              <w:rPr>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both"/>
              <w:rPr>
                <w:sz w:val="20"/>
              </w:rPr>
            </w:pPr>
            <w:r>
              <w:rPr>
                <w:sz w:val="20"/>
              </w:rPr>
              <w:t>settlement of short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broker-dealers may agree with the selling stockholders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through the writing or settlement of options or other hedging transactions,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as amended, or the Securities Act, as permitted by that rule, or Section 4(a)(1) under the Securities Act, if available, rather than under this prospectus, provided that they meet the criteria and conform to the requirements of those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If the selling stockholders effect such transactions by selling Shares to or through underwriters, broker-dealers or agents, such underwriters, broker-dealers or agents may receive commissions in the form of discounts, concessions or commissions from the selling stockholders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sales of the Shares or otherwise, the selling stockholders may enter into hedging transactions with broker-dealers or other financial institutions, which may in turn engage in short sales of the Shares in the course of hedging in positions they assume. The selling stockholders may also sell Shares short and if such short sale shall take place after the date that this Registration Statement is declared effective by the Commission, the selling stockholders may deliver Shares covered by this prospectus to close out short positions and to return borrowed shares in connection with such short sales. The selling stockholders may also loan or pledge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registered on this registration statement to cover short sales of our Common Stock made prior to the date the registration statement, of which this prospectus forms a part, has been declared effective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owned by them and, if they default in the performance of their secured obligations, the pledgees or secured parties may offer and sell the Shares from time to time pursuant to this prospectus or any amendment to this prospectus under Rule 424(b)(3) or other applicable provision of the Securities Act of 1933, amending, if necessary, the list of selling stockholders to include the pledgee, transferee or other successors in interest as selling stockholders under this prospectus. The selling stockholders also may transfer and donate the Shares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 or agents participating in the distribution of the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has informed the Company that it is not a registered broker-dealer and does not have any written or oral agreement or understanding, directly or indirectly, with any person to distribute the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U.S. states, the Shares may be sold in such states only through registered or licensed brokers or dealers. In addition, in some U.S. states the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Shares registered pursuant to the shelf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 To the extent applicable,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all expenses of the registration of the Shares pursuant to the registration rights agreement, including, without limitation, Securities and Exchange Commission filing fees and expenses of compliance with state securities or “blue sky”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ANNEX 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STOCKHOLDER NOTICE AND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of shares of the (i) common stock, par value $0.0001 per share, of Jasper Therapeutics,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and/or (ii) Series A Non-Voting Convertible Preferred Shares, par value $0.0001 per share, of the Company issued pursuant to a certain Securities Purchase Agreement by and among the Company and the Purchasers named therein, dated as of ______________, 2026 (the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understands that the Company intends to file with the Securities and Exchange Commission a registration statement on Form S-3 (the “</w:t>
      </w:r>
      <w:r>
        <w:rPr>
          <w:rFonts w:ascii="Times New Roman;Times;Serif" w:hAnsi="Times New Roman;Times;Serif"/>
          <w:b w:val="false"/>
          <w:i/>
          <w:caps w:val="false"/>
          <w:smallCaps w:val="false"/>
          <w:sz w:val="20"/>
        </w:rPr>
        <w:t>Resale Registration Statement</w:t>
      </w:r>
      <w:r>
        <w:rPr>
          <w:rFonts w:ascii="Times New Roman;Times;Serif" w:hAnsi="Times New Roman;Times;Serif"/>
          <w:b w:val="false"/>
          <w:i w:val="false"/>
          <w:caps w:val="false"/>
          <w:smallCaps w:val="false"/>
          <w:sz w:val="20"/>
        </w:rPr>
        <w:t>”) for the registration and the resale under Rule 415 of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of the Registrable Securities in accordance with the terms of the Agreement. All capitalized terms not otherwise defined herein shall have the meanings ascribed thereto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sell or otherwise dispose of any Registrable Securities pursuant to the Resale Registration Statement, a holder of Registrable Securities generally will be required to be named as a selling stockholder in the related prospectus or a supplement thereto (as so supplemented, the “</w:t>
      </w:r>
      <w:r>
        <w:rPr>
          <w:rFonts w:ascii="Times New Roman;Times;Serif" w:hAnsi="Times New Roman;Times;Serif"/>
          <w:b w:val="false"/>
          <w:i/>
          <w:caps w:val="false"/>
          <w:smallCaps w:val="false"/>
          <w:sz w:val="20"/>
        </w:rPr>
        <w:t>Prospectus</w:t>
      </w:r>
      <w:r>
        <w:rPr>
          <w:rFonts w:ascii="Times New Roman;Times;Serif" w:hAnsi="Times New Roman;Times;Serif"/>
          <w:b w:val="false"/>
          <w:i w:val="false"/>
          <w:caps w:val="false"/>
          <w:smallCaps w:val="false"/>
          <w:sz w:val="20"/>
        </w:rPr>
        <w:t xml:space="preserve">”), deliver the Prospectus to purchasers of Registrable Securities (including pursuant to Rule 172 under the Securities Act) and be bound by the provisions of the Agreement (including certain indemnification provisions, as described below). </w:t>
      </w:r>
      <w:r>
        <w:rPr>
          <w:rFonts w:ascii="Times New Roman;Times;Serif" w:hAnsi="Times New Roman;Times;Serif"/>
          <w:b/>
          <w:i w:val="false"/>
          <w:caps w:val="false"/>
          <w:smallCaps w:val="false"/>
          <w:sz w:val="20"/>
        </w:rPr>
        <w:t>Holders must complete and deliver this Notice and Questionnaire in order to be named as selling stockholders in the Prospectus. Holders of Registrable Securities who do not complete, execute and return this Notice and Questionnaire within five (5) Trading Days following the date of the Agreement (1) will not be named as selling stockholders in the Resale Registration Statement or the Prospectus and (2) may not use the Prospectus for resales of Registrable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stockholder in the Resale Registration Statement and the Prospectus. Holders of Registrable Securities are advised to consult their own securities law counsel regarding the consequences of being named or not named as a selling stockholder in the Resale Registration Statement and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(the “</w:t>
      </w:r>
      <w:r>
        <w:rPr>
          <w:rFonts w:ascii="Times New Roman;Times;Serif" w:hAnsi="Times New Roman;Times;Serif"/>
          <w:b w:val="false"/>
          <w:i/>
          <w:caps w:val="false"/>
          <w:smallCaps w:val="false"/>
          <w:sz w:val="20"/>
        </w:rPr>
        <w:t>Selling Stockholder</w:t>
      </w:r>
      <w:r>
        <w:rPr>
          <w:rFonts w:ascii="Times New Roman;Times;Serif" w:hAnsi="Times New Roman;Times;Serif"/>
          <w:b w:val="false"/>
          <w:i w:val="false"/>
          <w:caps w:val="false"/>
          <w:smallCaps w:val="false"/>
          <w:sz w:val="20"/>
        </w:rPr>
        <w:t>”) of Registrable Securities hereby gives notice to the Company of its intention to sell or otherwise dispose of Registrable Securities owned by it and listed below in Item 3, unless otherwise specified in Item (3), pursuant to the Resale Registration Statement. The undersigned, by signing and returning this Notice and Questionnaire, understands and agrees that it will be bound by the terms and conditions of this Notice and Questionnaire and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0" w:right="0" w:hanging="0"/>
        <w:jc w:val="center"/>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185"/>
        <w:gridCol w:w="620"/>
      </w:tblGrid>
      <w:tr>
        <w:trPr/>
        <w:tc>
          <w:tcPr>
            <w:tcW w:w="185" w:type="dxa"/>
            <w:tcBorders/>
            <w:vAlign w:val="center"/>
          </w:tcPr>
          <w:p>
            <w:pPr>
              <w:pStyle w:val="TableContents"/>
              <w:bidi w:val="0"/>
              <w:spacing w:before="0" w:after="283"/>
              <w:jc w:val="left"/>
              <w:rPr>
                <w:b/>
                <w:sz w:val="20"/>
              </w:rPr>
            </w:pPr>
            <w:r>
              <w:rPr>
                <w:b/>
                <w:sz w:val="20"/>
              </w:rPr>
              <w:t>1.</w:t>
            </w:r>
          </w:p>
        </w:tc>
        <w:tc>
          <w:tcPr>
            <w:tcW w:w="620" w:type="dxa"/>
            <w:tcBorders/>
            <w:vAlign w:val="center"/>
          </w:tcPr>
          <w:p>
            <w:pPr>
              <w:pStyle w:val="TableContents"/>
              <w:bidi w:val="0"/>
              <w:spacing w:before="0" w:after="283"/>
              <w:jc w:val="left"/>
              <w:rPr>
                <w:b/>
                <w:sz w:val="20"/>
              </w:rPr>
            </w:pPr>
            <w:r>
              <w:rPr>
                <w:b/>
                <w:sz w:val="20"/>
              </w:rPr>
              <w:t xml:space="preserve">Name. </w:t>
            </w:r>
          </w:p>
        </w:tc>
      </w:tr>
    </w:tbl>
    <w:p>
      <w:pPr>
        <w:pStyle w:val="TextBody"/>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23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3320" w:type="dxa"/>
            <w:tcBorders/>
            <w:vAlign w:val="center"/>
          </w:tcPr>
          <w:p>
            <w:pPr>
              <w:pStyle w:val="TableContents"/>
              <w:bidi w:val="0"/>
              <w:spacing w:before="0" w:after="283"/>
              <w:jc w:val="both"/>
              <w:rPr>
                <w:sz w:val="20"/>
              </w:rPr>
            </w:pPr>
            <w:r>
              <w:rPr>
                <w:sz w:val="20"/>
              </w:rPr>
              <w:t>Full Legal Name of Selling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(b)</w:t>
            </w:r>
          </w:p>
        </w:tc>
        <w:tc>
          <w:tcPr>
            <w:tcW w:w="9930" w:type="dxa"/>
            <w:tcBorders/>
            <w:vAlign w:val="center"/>
          </w:tcPr>
          <w:p>
            <w:pPr>
              <w:pStyle w:val="TableContents"/>
              <w:bidi w:val="0"/>
              <w:spacing w:before="0" w:after="283"/>
              <w:jc w:val="both"/>
              <w:rPr>
                <w:sz w:val="20"/>
              </w:rPr>
            </w:pPr>
            <w:r>
              <w:rPr>
                <w:sz w:val="20"/>
              </w:rPr>
              <w:t>Full Legal Name of Registered Holder (if not the same as (a) above) through which Registrable Securities Listed in Item 3 below are held: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20"/>
              </w:rPr>
            </w:pPr>
            <w:r>
              <w:rPr>
                <w:sz w:val="20"/>
              </w:rPr>
              <w:t>(c)</w:t>
            </w:r>
          </w:p>
        </w:tc>
        <w:tc>
          <w:tcPr>
            <w:tcW w:w="9962" w:type="dxa"/>
            <w:tcBorders/>
            <w:vAlign w:val="center"/>
          </w:tcPr>
          <w:p>
            <w:pPr>
              <w:pStyle w:val="TableContents"/>
              <w:bidi w:val="0"/>
              <w:spacing w:before="0" w:after="283"/>
              <w:jc w:val="both"/>
              <w:rPr>
                <w:sz w:val="20"/>
              </w:rPr>
            </w:pPr>
            <w:r>
              <w:rPr>
                <w:sz w:val="20"/>
              </w:rPr>
              <w:t>Full Legal Name of Natural Control Person (which means a natural person who directly or indirectly alone or with others has power to vote or dispose of the securities covered by the questionnaire):</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283"/>
              <w:jc w:val="left"/>
              <w:rPr>
                <w:b/>
                <w:sz w:val="20"/>
              </w:rPr>
            </w:pPr>
            <w:r>
              <w:rPr>
                <w:b/>
                <w:sz w:val="20"/>
              </w:rPr>
              <w:t>2.</w:t>
            </w:r>
          </w:p>
        </w:tc>
        <w:tc>
          <w:tcPr>
            <w:tcW w:w="3680" w:type="dxa"/>
            <w:tcBorders/>
            <w:vAlign w:val="center"/>
          </w:tcPr>
          <w:p>
            <w:pPr>
              <w:pStyle w:val="TableContents"/>
              <w:bidi w:val="0"/>
              <w:spacing w:before="0" w:after="283"/>
              <w:jc w:val="left"/>
              <w:rPr>
                <w:b/>
                <w:sz w:val="20"/>
              </w:rPr>
            </w:pPr>
            <w:r>
              <w:rPr>
                <w:b/>
                <w:sz w:val="20"/>
              </w:rPr>
              <w:t xml:space="preserve">Address for Notices to Selling Stockholder: </w:t>
            </w:r>
          </w:p>
        </w:tc>
      </w:tr>
    </w:tbl>
    <w:p>
      <w:pPr>
        <w:pStyle w:val="TextBody"/>
        <w:bidi w:val="0"/>
        <w:spacing w:before="0" w:after="0"/>
        <w:ind w:left="0" w:right="0" w:hanging="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965"/>
        <w:gridCol w:w="75"/>
      </w:tblGrid>
      <w:tr>
        <w:trPr/>
        <w:tc>
          <w:tcPr>
            <w:tcW w:w="965" w:type="dxa"/>
            <w:tcBorders/>
            <w:vAlign w:val="center"/>
          </w:tcPr>
          <w:p>
            <w:pPr>
              <w:pStyle w:val="TableContents"/>
              <w:bidi w:val="0"/>
              <w:spacing w:before="0" w:after="283"/>
              <w:jc w:val="left"/>
              <w:rPr>
                <w:sz w:val="20"/>
              </w:rPr>
            </w:pPr>
            <w:r>
              <w:rPr>
                <w:sz w:val="20"/>
              </w:rPr>
              <w:t>Telephone: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395"/>
        <w:gridCol w:w="75"/>
      </w:tblGrid>
      <w:tr>
        <w:trPr/>
        <w:tc>
          <w:tcPr>
            <w:tcW w:w="395" w:type="dxa"/>
            <w:tcBorders/>
            <w:vAlign w:val="center"/>
          </w:tcPr>
          <w:p>
            <w:pPr>
              <w:pStyle w:val="TableContents"/>
              <w:bidi w:val="0"/>
              <w:spacing w:before="0" w:after="283"/>
              <w:jc w:val="left"/>
              <w:rPr>
                <w:sz w:val="20"/>
              </w:rPr>
            </w:pPr>
            <w:r>
              <w:rPr>
                <w:sz w:val="20"/>
              </w:rPr>
              <w:t>Fax:</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325"/>
        <w:gridCol w:w="75"/>
      </w:tblGrid>
      <w:tr>
        <w:trPr/>
        <w:tc>
          <w:tcPr>
            <w:tcW w:w="1325" w:type="dxa"/>
            <w:tcBorders/>
            <w:vAlign w:val="center"/>
          </w:tcPr>
          <w:p>
            <w:pPr>
              <w:pStyle w:val="TableContents"/>
              <w:bidi w:val="0"/>
              <w:spacing w:before="0" w:after="283"/>
              <w:jc w:val="left"/>
              <w:rPr>
                <w:sz w:val="20"/>
              </w:rPr>
            </w:pPr>
            <w:r>
              <w:rPr>
                <w:sz w:val="20"/>
              </w:rPr>
              <w:t>Contact Person:</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2765"/>
        <w:gridCol w:w="60"/>
        <w:gridCol w:w="75"/>
      </w:tblGrid>
      <w:tr>
        <w:trPr/>
        <w:tc>
          <w:tcPr>
            <w:tcW w:w="2765" w:type="dxa"/>
            <w:tcBorders/>
            <w:vAlign w:val="center"/>
          </w:tcPr>
          <w:p>
            <w:pPr>
              <w:pStyle w:val="TableContents"/>
              <w:bidi w:val="0"/>
              <w:spacing w:before="0" w:after="283"/>
              <w:jc w:val="left"/>
              <w:rPr>
                <w:sz w:val="20"/>
              </w:rPr>
            </w:pPr>
            <w:r>
              <w:rPr>
                <w:sz w:val="20"/>
              </w:rPr>
              <w:t>E-mail address of Contact Person: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85"/>
        <w:gridCol w:w="7910"/>
      </w:tblGrid>
      <w:tr>
        <w:trPr/>
        <w:tc>
          <w:tcPr>
            <w:tcW w:w="185" w:type="dxa"/>
            <w:tcBorders/>
            <w:vAlign w:val="center"/>
          </w:tcPr>
          <w:p>
            <w:pPr>
              <w:pStyle w:val="TableContents"/>
              <w:bidi w:val="0"/>
              <w:spacing w:before="0" w:after="283"/>
              <w:jc w:val="left"/>
              <w:rPr>
                <w:b/>
                <w:sz w:val="20"/>
              </w:rPr>
            </w:pPr>
            <w:r>
              <w:rPr>
                <w:b/>
                <w:sz w:val="20"/>
              </w:rPr>
              <w:t>3.</w:t>
            </w:r>
          </w:p>
        </w:tc>
        <w:tc>
          <w:tcPr>
            <w:tcW w:w="7910" w:type="dxa"/>
            <w:tcBorders/>
            <w:vAlign w:val="center"/>
          </w:tcPr>
          <w:p>
            <w:pPr>
              <w:pStyle w:val="TableContents"/>
              <w:bidi w:val="0"/>
              <w:spacing w:before="0" w:after="283"/>
              <w:jc w:val="left"/>
              <w:rPr>
                <w:b/>
                <w:sz w:val="20"/>
              </w:rPr>
            </w:pPr>
            <w:r>
              <w:rPr>
                <w:b/>
                <w:sz w:val="20"/>
              </w:rPr>
              <w:t xml:space="preserve">Beneficial Ownership of Registrable Securities Issuable Pursuant to the Purchase Agreement: </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230"/>
        <w:gridCol w:w="83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(a)</w:t>
            </w:r>
          </w:p>
        </w:tc>
        <w:tc>
          <w:tcPr>
            <w:tcW w:w="8315" w:type="dxa"/>
            <w:tcBorders/>
            <w:vAlign w:val="center"/>
          </w:tcPr>
          <w:p>
            <w:pPr>
              <w:pStyle w:val="TableContents"/>
              <w:bidi w:val="0"/>
              <w:spacing w:before="0" w:after="283"/>
              <w:jc w:val="left"/>
              <w:rPr>
                <w:sz w:val="20"/>
              </w:rPr>
            </w:pPr>
            <w:r>
              <w:rPr>
                <w:sz w:val="20"/>
              </w:rPr>
              <w:t xml:space="preserve">Type and Number of Registrable Securities beneficially owned and issued pursuant to the Agreement: </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245"/>
        <w:gridCol w:w="70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(b)</w:t>
            </w:r>
          </w:p>
        </w:tc>
        <w:tc>
          <w:tcPr>
            <w:tcW w:w="7010" w:type="dxa"/>
            <w:tcBorders/>
            <w:vAlign w:val="center"/>
          </w:tcPr>
          <w:p>
            <w:pPr>
              <w:pStyle w:val="TableContents"/>
              <w:bidi w:val="0"/>
              <w:spacing w:before="0" w:after="283"/>
              <w:jc w:val="left"/>
              <w:rPr>
                <w:sz w:val="20"/>
              </w:rPr>
            </w:pPr>
            <w:r>
              <w:rPr>
                <w:sz w:val="20"/>
              </w:rPr>
              <w:t xml:space="preserve">Number of shares of Common Stock to be registered pursuant to this Notice for resale: </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185"/>
        <w:gridCol w:w="1940"/>
      </w:tblGrid>
      <w:tr>
        <w:trPr/>
        <w:tc>
          <w:tcPr>
            <w:tcW w:w="185" w:type="dxa"/>
            <w:tcBorders/>
            <w:vAlign w:val="center"/>
          </w:tcPr>
          <w:p>
            <w:pPr>
              <w:pStyle w:val="TableContents"/>
              <w:bidi w:val="0"/>
              <w:spacing w:before="0" w:after="283"/>
              <w:jc w:val="left"/>
              <w:rPr>
                <w:b/>
                <w:sz w:val="20"/>
              </w:rPr>
            </w:pPr>
            <w:r>
              <w:rPr>
                <w:b/>
                <w:sz w:val="20"/>
              </w:rPr>
              <w:t>4.</w:t>
            </w:r>
          </w:p>
        </w:tc>
        <w:tc>
          <w:tcPr>
            <w:tcW w:w="1940" w:type="dxa"/>
            <w:tcBorders/>
            <w:vAlign w:val="center"/>
          </w:tcPr>
          <w:p>
            <w:pPr>
              <w:pStyle w:val="TableContents"/>
              <w:bidi w:val="0"/>
              <w:spacing w:before="0" w:after="283"/>
              <w:jc w:val="left"/>
              <w:rPr>
                <w:b/>
                <w:sz w:val="20"/>
              </w:rPr>
            </w:pPr>
            <w:r>
              <w:rPr>
                <w:b/>
                <w:sz w:val="20"/>
              </w:rPr>
              <w:t xml:space="preserve">Broker-Dealer Status: </w:t>
            </w:r>
          </w:p>
        </w:tc>
      </w:tr>
    </w:tbl>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230"/>
        <w:gridCol w:w="20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(a)</w:t>
            </w:r>
          </w:p>
        </w:tc>
        <w:tc>
          <w:tcPr>
            <w:tcW w:w="2075" w:type="dxa"/>
            <w:tcBorders/>
            <w:vAlign w:val="center"/>
          </w:tcPr>
          <w:p>
            <w:pPr>
              <w:pStyle w:val="TableContents"/>
              <w:bidi w:val="0"/>
              <w:spacing w:before="0" w:after="283"/>
              <w:jc w:val="left"/>
              <w:rPr>
                <w:sz w:val="20"/>
              </w:rPr>
            </w:pPr>
            <w:r>
              <w:rPr>
                <w:sz w:val="20"/>
              </w:rPr>
              <w:t xml:space="preserve">Are you a broker-dealer?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“yes” to Section 4(a), did you receive your Registrable Securities as compensation for investment banking services to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If no, the Commission’s staff has indicated that you should be identified as an underwriter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you an affiliate of a broker-dealer?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If yes, provide a narrative explanation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sz w:val="20"/>
              </w:rPr>
            </w:pPr>
            <w:r>
              <w:rPr>
                <w:sz w:val="20"/>
              </w:rPr>
              <w:t>(d)</w:t>
            </w:r>
          </w:p>
        </w:tc>
        <w:tc>
          <w:tcPr>
            <w:tcW w:w="9925" w:type="dxa"/>
            <w:tcBorders/>
            <w:vAlign w:val="center"/>
          </w:tcPr>
          <w:p>
            <w:pPr>
              <w:pStyle w:val="TableContents"/>
              <w:bidi w:val="0"/>
              <w:spacing w:before="0" w:after="283"/>
              <w:jc w:val="left"/>
              <w:rPr>
                <w:sz w:val="20"/>
              </w:rPr>
            </w:pPr>
            <w:r>
              <w:rPr>
                <w:sz w:val="20"/>
              </w:rPr>
              <w:t xml:space="preserve">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If no, the Commission’s staff has indicated that you should be identified as an underwriter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15"/>
        <w:gridCol w:w="9425"/>
      </w:tblGrid>
      <w:tr>
        <w:trPr/>
        <w:tc>
          <w:tcPr>
            <w:tcW w:w="215" w:type="dxa"/>
            <w:tcBorders/>
            <w:vAlign w:val="center"/>
          </w:tcPr>
          <w:p>
            <w:pPr>
              <w:pStyle w:val="TableContents"/>
              <w:bidi w:val="0"/>
              <w:spacing w:before="0" w:after="283"/>
              <w:jc w:val="left"/>
              <w:rPr>
                <w:b/>
              </w:rPr>
            </w:pPr>
            <w:r>
              <w:rPr>
                <w:b/>
              </w:rPr>
              <w:t>5.</w:t>
            </w:r>
          </w:p>
        </w:tc>
        <w:tc>
          <w:tcPr>
            <w:tcW w:w="9425" w:type="dxa"/>
            <w:tcBorders/>
            <w:vAlign w:val="center"/>
          </w:tcPr>
          <w:p>
            <w:pPr>
              <w:pStyle w:val="TableContents"/>
              <w:bidi w:val="0"/>
              <w:spacing w:before="0" w:after="283"/>
              <w:jc w:val="both"/>
              <w:rPr>
                <w:b/>
              </w:rPr>
            </w:pPr>
            <w:r>
              <w:rPr>
                <w:b/>
              </w:rPr>
              <w:t>Beneficial Ownership of Other Securities of the Company Owned by the Selling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Except as set forth below in this Item 5, the undersigned is not the beneficial or registered owner of any securities of the Company other than the Registrable Securities listed above in Item 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and amount of other securities beneficially owned:</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b/>
                <w:sz w:val="20"/>
              </w:rPr>
            </w:pPr>
            <w:r>
              <w:rPr>
                <w:b/>
                <w:sz w:val="20"/>
              </w:rPr>
              <w:t>6.</w:t>
            </w:r>
          </w:p>
        </w:tc>
        <w:tc>
          <w:tcPr>
            <w:tcW w:w="2855" w:type="dxa"/>
            <w:tcBorders/>
            <w:vAlign w:val="center"/>
          </w:tcPr>
          <w:p>
            <w:pPr>
              <w:pStyle w:val="TableContents"/>
              <w:bidi w:val="0"/>
              <w:spacing w:before="0" w:after="283"/>
              <w:jc w:val="left"/>
              <w:rPr>
                <w:b/>
                <w:sz w:val="20"/>
              </w:rPr>
            </w:pPr>
            <w:r>
              <w:rPr>
                <w:b/>
                <w:sz w:val="20"/>
              </w:rPr>
              <w:t xml:space="preserve">Relationships with the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b/>
                <w:sz w:val="20"/>
              </w:rPr>
            </w:pPr>
            <w:r>
              <w:rPr>
                <w:b/>
                <w:sz w:val="20"/>
              </w:rPr>
              <w:t>7.</w:t>
            </w:r>
          </w:p>
        </w:tc>
        <w:tc>
          <w:tcPr>
            <w:tcW w:w="1805" w:type="dxa"/>
            <w:tcBorders/>
            <w:vAlign w:val="center"/>
          </w:tcPr>
          <w:p>
            <w:pPr>
              <w:pStyle w:val="TableContents"/>
              <w:bidi w:val="0"/>
              <w:spacing w:before="0" w:after="283"/>
              <w:jc w:val="left"/>
              <w:rPr>
                <w:b/>
                <w:sz w:val="20"/>
              </w:rPr>
            </w:pPr>
            <w:r>
              <w:rPr>
                <w:b/>
                <w:sz w:val="20"/>
              </w:rPr>
              <w:t xml:space="preserve">Plan of Distribution: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undersigned has reviewed the form of Plan of Distribution attached as Annex A to the Registration Rights Agreement, and hereby confirms that, except as set forth below, the information contained therein regarding the undersigned and its plan of distribution is correct and complete.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Agreement shall be made in writing, by hand delivery, confirmed or facsimile transmission, first-class mail or air courier guaranteeing overnight delivery at the address set forth below. In the absence of any such notification, the Company shall be entitled to continue to rely on the accuracy of the information in this Notice and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Questionnaire are furnished for use in connection with Registration Statements filed pursuant to the Registration Rights Agreement and any amendments or supplements thereto filed with the Commission pursuant to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and is advised of the following Question 239.10 of the Securities Act Rules Corporation Finance Interpretations regarding short selling: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An Issuer filed a Form S-3 registration statement for a secondary offering of common stock which is not yet effective. One of the selling stockholders wanted to do a short sale of common stock “against the box” and cover the short 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 5 if the shares were effectively sold prior to the 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returning this Questionnaire, the undersigned will be deemed to be aware of the foregoing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to the best of my knowledge and belief, the foregoing statements (including without limitation the answers to this Questionnaire) are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575"/>
        <w:gridCol w:w="1505"/>
      </w:tblGrid>
      <w:tr>
        <w:trPr/>
        <w:tc>
          <w:tcPr>
            <w:tcW w:w="575" w:type="dxa"/>
            <w:tcBorders/>
            <w:vAlign w:val="center"/>
          </w:tcPr>
          <w:p>
            <w:pPr>
              <w:pStyle w:val="TableContents"/>
              <w:bidi w:val="0"/>
              <w:spacing w:before="0" w:after="283"/>
              <w:jc w:val="left"/>
              <w:rPr>
                <w:sz w:val="20"/>
              </w:rPr>
            </w:pPr>
            <w:r>
              <w:rPr>
                <w:sz w:val="20"/>
              </w:rPr>
              <w:t>Dated:</w:t>
            </w:r>
          </w:p>
        </w:tc>
        <w:tc>
          <w:tcPr>
            <w:tcW w:w="1505" w:type="dxa"/>
            <w:tcBorders/>
            <w:vAlign w:val="center"/>
          </w:tcPr>
          <w:p>
            <w:pPr>
              <w:pStyle w:val="TableContents"/>
              <w:bidi w:val="0"/>
              <w:spacing w:before="0" w:after="283"/>
              <w:jc w:val="both"/>
              <w:rPr>
                <w:sz w:val="20"/>
              </w:rPr>
            </w:pPr>
            <w:r>
              <w:rPr>
                <w:sz w:val="20"/>
              </w:rPr>
              <w:t>Beneficial Owner:</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EMAIL OR FAX A COPY OF THE COMPLETED AND EXECUTED NOTICE AND QUESTIONNAIRE, AND RETURN THE ORIGINAL BY OVERNIGHT MAIL,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Dylan Caplan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+1 215 606 2168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ProjectComplement-DLACore@us.dlapiper.com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0" w:right="0" w:hanging="0"/>
        <w:jc w:val="right"/>
        <w:rPr>
          <w:rFonts w:ascii="Times New Roman;Times;Serif" w:hAnsi="Times New Roman;Times;Serif"/>
          <w:b/>
          <w:i w:val="false"/>
          <w:caps w:val="false"/>
          <w:smallCaps w:val="false"/>
          <w:sz w:val="20"/>
        </w:rPr>
      </w:pPr>
      <w:bookmarkStart w:id="34" w:name="ea029822901ex99-1.htm"/>
      <w:bookmarkStart w:id="35" w:name="ksea029822901ex991"/>
      <w:bookmarkEnd w:id="34"/>
      <w:bookmarkEnd w:id="35"/>
      <w:r>
        <w:rPr>
          <w:rFonts w:ascii="Times New Roman;Times;Serif" w:hAnsi="Times New Roman;Times;Serif"/>
          <w:b/>
          <w:i w:val="false"/>
          <w:caps w:val="false"/>
          <w:smallCaps w:val="false"/>
          <w:sz w:val="20"/>
        </w:rPr>
        <w:t>Exhibit 99.1</w:t>
      </w:r>
      <w:r>
        <w:br w:type="page"/>
      </w:r>
    </w:p>
    <w:p>
      <w:pPr>
        <w:pStyle w:val="TextBody"/>
        <w:bidi w:val="0"/>
        <w:jc w:val="right"/>
        <w:rPr>
          <w:caps w:val="false"/>
          <w:smallCaps w:val="false"/>
        </w:rPr>
      </w:pPr>
      <w:r>
        <w:rPr>
          <w:caps w:val="false"/>
          <w:smallCaps w:val="false"/>
        </w:rPr>
        <w:t> </w:t>
      </w:r>
    </w:p>
    <w:p>
      <w:pPr>
        <w:pStyle w:val="TextBody"/>
        <w:bidi w:val="0"/>
        <w:jc w:val="center"/>
        <w:rPr/>
      </w:pPr>
      <w:r>
        <w:rPr/>
        <w:drawing>
          <wp:inline distT="0" distB="0" distL="0" distR="0">
            <wp:extent cx="9048750" cy="6991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Exhibit 99.1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 Safe Harbor Statements Forward-Looking Statements Certain statements contained in this presentation are or may be considered "forward-looking statements" as defined in the Private Securities Litigation Reform Act of 1995. These statements can be identified by the fact that they do not relate strictly to historic or current facts. They use words such as "estimate," "expect," "intend," "believe," "plan," "anticipate," "potential," "projected" and other words and terms of similar meaning in connection with any discussion of future operating or financial performance or condition. Jasper Therapeutics, Inc. ("Jasper") cautions that these statements are based upon the current beliefs and expectations of Jasper's management and are subject to significant risks, uncertainties and assumptions, including, without limitation, risks related to the market price of Jasper's common stock relative to the value suggested by the exchange ratio in connection with Jasper's acquisition of Kira Pharmaceuticals ("Kira" and together with Jasper, the "Combined Company" pursuant to a merger); unexpected costs, charges or expenses resulting from the merger; potential adverse reactions or changes to business relationships resulting from the announcement or completion of the merger; the uncertainties associated with the Combined Company's product candidates, as well as risks associated with the clinical development and regulatory approval of product candidates, including potential delays in the commencement, enrollment and completion of clinical trials; risks related to the inability of the Combined Company to obtain sufficient additional capital to continue to advance these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merger, including with respect to future financial and operating results; the risk that the private placement is not consummated; the possibility that holders of CVRs may never receive any proceeds; risks related to the possibility that Jasper's shareholders may not approve the conversion of the Preferred Stock, and such additional risks and uncertainties contained in the "Risk Factors" section of Jasper's Annual Reports on Form 10-K for the year ended December 31, 2025, Quarterly Reports on Form 10-Q and Current Reports on Form 8-K that Jasper has subsequently filed or may subsequently file with the SEC. Statements regarding future actions, future performance and/or future results including, without limitation, those relating to the timing for completion, and results of, scheduled or additional clinical trials and the FDA's or other regulatory review and/or approval and commercial launch and sales results (if any) of the Combined Company's formulations and product candidates and regulatory filings related to the same, financial projections and targets, business strategy, plans and objectives for future operations, statements regarding the Combined Company and its operations and prospects, may not occur, and actual results could differ materially and adversely from those anticipated or implied in the forward-looking statements. In light of these risks, uncertainties and assumptions, the forward-looking events and circumstances discussed in this press release are inherently uncertain and may not occur, and actual results could differ materially and adversely from those anticipated or implied in the forward-looking statements. Accordingly, you should not rely upon forward-looking statements as predictions of future events. There is no obligation to update publicly or revise any forward-looking statements for any reason after the date of this presentation or to conform these statements to actual results or to changes in the Combined Company's expectations, whether as a result of new information, future events, inaccuracies that become apparent after the date hereof or otherwise, except as may be required under applicable securities laws. Industry and Market Data: Certain data in this presentation was obtained from various external sources, and neither Jasper nor its affiliates, advisers or representatives has verified such data with independent sources. Accordingly, neither Jasper nor any of its affiliates, advisers or representatives makes any representations as to the accuracy or completeness of that data or undertakes any obligation to update such data after the date of this presentation. Such data involves risks and uncertainties and is subject to change based on various factors. Trademarks: The trademarks included herein are the property of the owners thereof and are used for reference purposes only. Such use should not be construed as an endorsement of the products or services of Jasper.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3 Merger • On July 16, 2026, Kira Pharmaceuticals ("Kira") and Jasper Therapeutics, Inc. (NASDAQ: JSPR) entered into a merger agreement whereby Jasper acquired all outstanding shares of Kira in in an all-stock transaction, and concurrently raised $132 million in a PIPE offering • On a fully diluted basis, assuming exercise of all outstanding equity instruments and conversion of all preferred stock issued in connection with the merger and the PIPE offering: • Equityholders of Jasper immediately prior to the transaction will own approximately 6.68% of Jasper's common stock, • Equityholders of Kira immediately prior to the acquisition will own approximately 49.86% of Jasper's common stock, and • Investors in the private placement financing will own approximately 43.46% of Jasper's common stock • The total number of shares of Jasper common stock outstanding would be approximately 653.6 million (on an as-converted-to- common basis) • In connection with the acquisition of Kira, each holder of Jasper common stock as of immediately before the closing of the transaction will receive a non-transferrable contingent value right ("CVR") entitling holders to receive an aggregate $30 million in payments related to Jasper obtaining a priority review voucher ("PRV") for briquilimab by the end of 2028. Payments under the CVR shall only be due upon the monetization of the CVR or in the event of an acquisition of the Combined Company. Concurrent PIPE • Concurrent with the merger, Jasper entered into a securities purchase agreement pursuant to which Jasper agreed to sell approximately 4.7 million shares of preferred stock for an aggregate purchase price of approximately $132M Use of proceeds focused on key value drivers: • KP 104 - Research and development of Ph. 2, interim Stage 1 and Stage 2 data in rare renal disorders, • KP-104 Ph. 3 initiation in PNH • Briquilimab pre-BLA meeting in SCID • KP-701 Ph. 1b data / Ph. 2 initiation in B-cell mediated diseases • General corporate expenses and working capital needs Strong balance sheet expected to fund multiple anticipated clinical milestones and operating plan through 2H 2028 Out-License • Kira has out-licensed KP-301, a preclinical long-acting anti-C5a monoclonal antibody, and KP-402, a small molecule C5a receptor antagonist, to Mirador Therapeutics • The out-licensing transaction will provide an upfront payment of $12M, and potential development and sales milestone payments Merger creates a combined company with deep expertise in antibody drug development and immunologically- driven disorders Overview of the Merger Transaction and Financing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4 Jasper Executive Team Experienced drug developers focused on driving value Wenru Song, MD, PhD Executive Vice President and Head of R&amp;D Ex-VP level clinical positions at large pharma companies Greg Keenan, MD Chief Medical Officer Rheumatologist, antibody drug developer &amp; former CMO at publicly traded biotechs Matthew Ros Chief Operating Officer Former COO / CFO and Board member at publicly traded pharma companies Jeet Mahal Chief Executive Officer Biotech executive and Board member with 30+ years of experience in development &amp; commercialization Patrick Crutcher, MSc Board of Directors, Chairman, Kira Pharmaceuticals Herb Cross Chief Financial Officer Biotech executive with extensive experience in leadership roles at publicly traded biotech companies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5 • $14B+ addressable market across complement-mediated disorders1 • Phase 2/3 ready in renal and hematology indications • Innovative, bifunctional biologic targeting both alternative &amp; terminal pathways • Preclinical data demonstrated potential superiority vs. single pathway therapies (C5, Factor B, or C3 alone) • Kira's China subsidiary fully supports the efficient and quality execution of a Phase 2 trial in China • Potential BLA path in SCID conditioning and broad optionality in large markets • Potential best-in-class conditioning agent for SCID &amp; Fanconi; planning pre-BLA / Type C meeting on approval pathway • Program has Orphan Drug &amp; Fast Track Designation + Rare Pediatric Disease Designation in SCID • Optionality to explore Briquilimab in mast-cell mediated disorders (e.g., CSU, food allergies) • The Combined Company is expected to be led by a core team of experienced biopharma industry experts, seeking to address critical unmet need in immunologically-driven disorders • KP-701 (long-acting CD79B) – potential best-in-class B-cell targeting therapy for early disease setting treatment, CTA/IND-ready • Multiple other programs targeting validated targets The Combined Company Plans to Deliver Innovative Therapeutics in Immunologically-Driven Disorders 1) Evaluate Pharma annual worldwide sales estimates Significant Global Opportunity KP-104 (C5 + Factor H) Briquilimab (anti-KIT) Broad Portfolio Experienced Leadership Team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6 Expected Upcoming Milestones Phase 3 Phase 2 Phase 1 IND Indication Mechanism of Action Q4 '26: Interim data (Stage 1) Q2 '27: Updated data (Stage 1) Q2 '27: Interim data (Stage 2) IgA Nephropathy (IgAN), Complement 3 Glomerulopathy (C3G), Focal Segmental Glomerulosclerosis (FSGS) Anti-C5 mAb + Factor H Bifunctional Biologic KP-104 1H '27: EOP2 FDA meeting Paroxysmal Nocturnal Hemoglobinuria (PNH) Q4 '26: Phase 2 plans New Indication Q4 '26: Update on SCID program Q1 '27: Receive regulatory guidance SCID Conditioning Anti-KIT Briquilimab 2H '26: Update on next steps Mast-Cell Mediated Diseases Q1 '27: File Phase 1 CTA/IND Q3 '27: Phase 1a HV data Autoantibody-Mediated Disorders Anti-CD79B KP-701 Mid '27: DC selection Autoimmune Inflammatory Disorders Long-Acting Complement Targeted Biologics Discovery Phase 2 Basket Trial Phase 2 Ready Phase 3 Ready Phase 2 Ready All assets have global rights &amp; extensive IP portfolios Pre-BLA Discussion Innovative Pipeline Targeting High Value Immunology Targets Phase 1 Ready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7 $9.4 $10.2 $11.2 $12.1 $13.0 $13.6 $14.2 $14.4 – $2.0 $4.0 $6.0 $8.0 $10.0 $12.0 $14.0 $16.0 2025A 2026E 2027E 2028E 2029E 2030E 2031E 2032E Global Terminal &amp; Alternative Pathway Complement Inhibitors Sales ($ in billions) Soliris Ultomiris Fabhalta Voydeya Tavneos Empaveli / Syfovre Piasky Izervay Zilbrysq Value Proposition • Combined Company's differentiated complement portfolio includes dual MOA beyond single-pathway agents and long- acting complement inhibitors • Opportunity to unlock multiple high-value indications in renal and hematology • Well-positioned to capture share in $14B+ addressable market • 14 FDA approved complement inhibitors across 10+ indications, including IgAN and C3G Source: IQVIA $14B+ Addressable Market in Complement Disorders Driving Robust BD Activity Sources: Evaluate Pharma, company press releases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KP-104 (Vensobafusp alfa) Anti-C5 mAb + Factor H Bifunctional Biologic</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9 KP-104: Dual-Action, Potential Best-in-Class Complement Inhibitor Validated Rationale: • Complement dysregulation – particularly alternative pathway amplification and MAC formation – is well-documented across multiple renal disorders (IgAN, C3G, aHUS, etc.) Dual Mechanism of Action: • Simultaneous blockade of the alternative pathway (via Factor H control) and terminal pathway (via C5 inhibition) – addressing both upstream activation and downstream lytic damage A novel monoclonal antibody with promising proof-of-concept data in PNH and broad potential in nephrology Translational Strategy: • Basket study design enables rapid generation of proof-of-concept data across high- unmet-need nephrology indications; IgAN and C3G starting cohorts in Stage 1 anticipated as leverageable for potential read through for other indications in Stage 2 (e.g., FSGS and other renal disorders) KP-104 is Phase 2/3-ready • Potentially favorable PK &amp; safety observed in PNH • Extended half-life and dual-pathway coverage may unlock a dosing &amp; efficacy advantage over single-pathway agents • Data from Stage 1 &amp; Stage 2 in Q4'26 and Q2'27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10 Introducing KP-104: Dual Inhibition Unlocks Broad Applicability Across PNH and Other Complement-Driven Diseases TERMINAL PROXIMAL (ALTERNATIVE) • Anti-C5 antibody engineered for a longer half-life with similar potency to ravulizumab • Unique C5- and C5b-binding epitope preventing MAC formation • Factor H modulates AP amplification, rather than fully blocking AP (e.g., Factor B MOA) • A more fine-tuned approach aims to reduce systemic infection liability and spare complement function needed to preserve host defense KP-104: Dual-targeting of Terminal (C5) and Alternative (Factor H) Pathways Factor B Factor D P C3 C3a Amplification Loop C3 convertase (C3bBbP) Factor H Empaveli (pegcetacoplan) Fabhalta (Iptacopan) Voydeya (Danicopan) Classical Pathway Lectin Pathway Alternative Pathway C3 Convertase (c4b2a) ... C3 C3b C3b Soliris (Eculizumab) C5 C5a C5b MAC C5 convertase Ultomiris (Ravulizumab) Tavneos (Avacopan) KP-104 Factor H 1-5 domain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11 RABBIT RBCS LYSIS ASSAY KP-104 more potent than: • Anti-C5 mAb alone • Alternative pathway (AP) regulatory (Factor H1-5-Fc) alone • Anti-C5 mAb and AP regulator (FH1- 5-Fc) together KP-104 is more potent than anti-C5 mAb or Factor H SCR1-5-Fc (alone or combined) in inhibiting AP-triggered terminal pathway complement activation* Unlike anti-C5 mABs, KP-104 also inhibits AP complement* LPS-BASED ELISA ASSAY C5 INHIBITION ASSAY KP-104 as potent as Ravulizumab in inhibiting CP-triggered terminal pathway complement activation* • Simultaneously inhibits C5 cleavage and enhances Factor H activity, uniquely addressing both effector and amplification loops Dual Complement Blockade • C5 Inhibition: Prevent MAC cytotoxicity and C5a-mediated inflammation • Factor H Modulation: Restores the regulation of the alternative pathway, preventing continuous C3b amplification Mechanistic Rationale • Durable control of complement activation upstream and downstream – "reset" rather than single-node blockade Goal Target Product Profile KP-104: Potential Best-in-Class Profile Across Multiple Indications (Renal, Hematology) Source: Internal data *Head-to-Head Study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12 Confirming long-term effects of KP-104 in naïve PNH patients • Consistent and favorable safety profile • Improved and sustained clinical responses at OBD treatment • Demonstrated effectiveness in controlling IVH and EVH Strong clinical data supporting KP-104 as a potential standard of care • Potent, potential first-in-class bifunctional complement inhibitor • Potential new first-line monotherapy for PNH • Favorable efficacy and safety profile Summary of Phase 2 48-eek results 94% of patients with LDH &lt;1.5x ULN at 24/26 weeks post OBD switch (~week 64) % Patients with LDH &lt;1x ULN at 24/26 Weeks1 72% 54% 49% 0% 20% 40% 60% 80% KP-104 Ravulizumab Eculizumab Normalized LDH by KP-104 as Supported long-erm clinical benefit correlation of Significant Thrombosis Reduction 100% Hgb ≥2g/dl increase from baseline 6.6 g/dL Hgb increase from baseline 89% Hgb normalization (≥12 g/dL) 94% LDH &lt;1.5x ULN (with near normal LDH) 100% Transfusion avoidance 100% Clinically significant improvement in QoL 1) Ravulizumab and eculizumab data from Lee, J. et al. Blood (2019) 133 (6): 530–539, Doi.org/10.1182/blood-2018-09-876136 – LDH normalization co-primary endpoint at day 183 (~26 weeks) OBD: Optimal biologic dose KP-104: Phase 2 48-Week+ Results Showed Favorable Efficacy Profile in PNH</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13 PNH-201: KP-104 Dual Inhibition Drives Durable Hgb Improvement with Hgb Normalization in 82% of Patients at 2 Years Sustained Hgb Improvement Reflects Controls of Both IVH and EVH with KP-104 % Patients with Hgb Normalization Mean Hgb Improvement from Baseline (g/dL) Sources: KP104: ASH 2025 abstract, KP104-201 Phase 2 2-year update. Iptacopan: EHA 2025 poster PF660, APPOINT-PNH REP 2-year follow-up. Pegcetacoplan: PRINCE Phase 3 study, Week 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14 KP-104's Unique MOA Enables Potential Expansion into Other Indications Beyond PNH Hematology Lead Asset (KP-104) Opportunities Renal Other PNH1: 28K patients aHUS1: 9K patients (US, EU5, Japan &amp; China) IgAN2: 27k patients C3G2: 4.3k patients FSGS2: 6.5k patients &gt;$9B US market opportunity2 gMG1: 260K patients NMOSD1: 25K patients (US, EU5, Japan &amp; China) Neurology: Neuromyelitis Optica Spectrum Disorder (NMOSD), Generalized (ACHR+) Myasthenia Gravis (gMG) IgA Nephropathy (IgAN) C3 Glomerulopathy (C3G) – Potential Best-in-Class Profile Focal Segmental Glomerulosclerosis (FSGS) Immune Complex-Mediated Membranoproliferative Glomerulonephritis (IC-MPGN) Diabetic Kidney Disease (DKD) Other renal disorders under consideration Paroxysmal Nocturnal Hemoglobinuria (PNH) – Clinically Validated Complement-Mediated Thrombotic Microangiopathy (CM-TMA) Atypical Hemolytic Uremic Syndrome (aHUS) 1) Alexion R&amp;D Day 2024 2) Novartis Renal Portfolio Investor Event and Target Patient Population 2023, Cantor KOL estimates, LifeSci Vera Therapeutics model Estimated Market Opportunity: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15 Opportunity to demonstrate KP-104's best-in-class potential and differentiated profile in renal indications vs. other complement inhibitors KP-104 is Being Evaluated in an Ongoing Phase 2 Basket Study in Rare Renal Indications With Potential to Achieve Fast POC IgAN • IgAN pathogenesis involves both alternative pathway (AP) and lectin pathway (LP) complement C3G • KP-104 demonstrated best-in-class potential, with improvements observed in renal function and pathology including C3 and C9 glomeruli deposition elimination compared to C5 mAb alone FSGS and Other Renal Disorders • Robust in vitro and in vivo data supporting multiple complement pathway in FSGS • Opportunity to expand into other renal disorders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Briquilimab Potential Best-in-Class Anti-KIT Antibody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17 Briquilimab: Broad Therapeutic Potential Across Transplant &amp; Immunology Update on SCID program in Q4'26 &amp; regulatory feedback expected in Q1'27 SCF KIT (CD117) Briquilimab Briquilimab Blocks SCF binding to KIT (CD117) to directly inhibit receptor signaling Validated Mechanism of Action • Briquilimab is designed to directly block SCF from binding to KIT (CD117) with high affinity and avidity • Aglycoslyated IgG1 antibody directly inhibits stem cell factor from binding to the KIT receptor on mast and stem cells • Inhibition of SCF signaling leads to depletion of mast cells in the skin and migration of hematopoietic stem cells from the bone marrow • Wide therapeutic potential across a range of mast and stem cell- mediated diseases Favorable Drug Properties • Kd &lt; 5pM affinity to human KIT with IC50 ~ 70pM • Human mast cell survival bioassay IC50 ~12.5nM • No Fc mediated ADCC or complement mediated cytotoxicity which reduces risk of adverse effects • Human clinical data as IV or Sub-Q delivery Encouraging Clinical Profile • Predictable clearance from ages 3 to 79 • Demonstrated single agent lasting depletion of mast cells • Demonstrated efficacy in multiple stem cell transplant and mast cell mediated disease studies • Favorable safety profile demonstrated in over 200 clinical participants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18 Open-Label Extension CSU: N = 87 H1-AH1 failed CIndU: N = 27 H1-AH failed (ColdU and SD) SCID, Fanconi, Sickle Cell and AML / MDS: N = ~40 • Positive, long-term data supporting use of Briquilimab for conditioning in HSCT • Results show successful donor chimerism and reconstitution of hematopoietic and immune systems • Favorable chronic safety profile with potential for differentiation • Potential BLA filing in SCID o Rare Pediatric Disease Designation o Discuss path to BLA with FDA with data from first twelve patients • Deep disease control with ∆UAS7&gt;25 in multiple cohorts • Rapid onset with CRs observed as early as week 2 • &gt;50% CR rate at 4 weeks post-dose in multiple dose cohorts2 • Favorable chronic safety profile with potential for differentiation • Phase 2b protocol submitted to FDA • 92% CRs with 180mg single dose • 67% CR by week 2 (180mg SD) • 65% CR / WC maintained with 180mg Q8W in open-label extension • Favorable safety profile observed Briquilimab: A Differentiated Program in Transplant &amp; Allergic Disorders 1) H1-AH: H1 receptor targeted antihistamine 2) Measured 4 week after initial dose for single dose patients and 4 weeks post-dose for patients dosed Q8W or Q12W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19 Multiple Potential FDA Filing Strategies: • SCID re-transplant patients are ultra orphan, high unmet need population • Focused on data with Briquilimab in 11 SCID re-transplant T-B- patients • Immune reconstitution (chimerism, naïve T-cells) • Function immunity (reduction of IVIG, infections, response to vaccination) • Additional longitudinal data in existing patients and separate natural history data • Combined Company has 5-year follow up data in patients • Example: Rocket Pharmaceuticals recent approval of KRESLADI provides roadmap to support approval path • Allogeneic stem cell transplant can restore bone marrow and blood formation in Fanconi anemia patients • Development strategy: • Discuss path to BLA with FDA with 2 yr-data in first three patients • Consider expansion to additional clinical sites following FDA discussion • Successful development of Briquilimab in Fanconi anemia may lead to rare pediatric disease designation and a Priority Review Voucher Briquilimab granted Rare Pediatric Disease Designation in SCID and may be eligible for Priority Review Voucher (PRV) with approval SCID and Fanconi anemia are difficult to treat ultra-orphan disorders where HCT is the only proven cure, but challenging setting due to limited pre-conditioning options Briquilimab: Potential US Licensing Pathway &amp; PRV Opportunity for SCID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20 Briquilimab: Rapid and Deep Control of Chronic Spontaneous Urticaria • Direct blockade of SCF binding site • High affinity c-Kit (Kd &lt;5pM) and potency (IC50 70pM) Potency • Rapid Tmax and high Cmax • Over 50% Complete Responses (CRs) and &gt;25pt UAS7 reduction by week 4 in multiple cohorts Speed • Nine-day subcutaneous half life • Allows restoration of KIT signaling between doses to minimize unwanted hair and skin effects Clearance Target Product Profile Briquilimab rapidly suppresses serum tryptase by week 1 and maintains suppression to week 8 with single dose (BEACON) Briquilimab rapidly leads to complete response that is maintained through 8 weeks with single dose (BEACON)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KP-701 Potentially Best-in-Class Anti-CD79BxCD32B</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22 KP-701 (CD79BxCD32B): potential best-in-class B-cell control New Emphasis Beyond Conventional B-Cell Depletion MOAs • Human genetics supports B-cell control • Prior proof-of-concept with weaker molecules &amp; similar Fc constructs (e.g., PRV3279, Obexelimab) • Recent positive Obexelimab Phase 2 &amp; Phase 3 data • Platform program to build around (e.g., FcRn &amp; APRIL / BAFF class) • Multiple go-forward large indications under consideration Validated Target with Human POC • Blockade of CD79B and engagement of CD32B suppresses B-cell function, lowers cytokine and autoantibody production • Demonstrated B-cell inhibition &amp; phagocytosis (ADCP) without CDC or ADCC in NHPs • CTA-ready, potential rapid path in patients in China • Efficient path to proof-of- concept in HV and autoimmune disease patients • Once-monthly dosing potential Compelling Preclinical Data &amp; Clinical Strategy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23 Source: O'Neil et al. 2011. Monophosphorylation of CD79a and CD79b ITAM motifs initiates a SHIP-1 phosphatase-mediated inhibitory signaling cascade required for B-cell anergy Mimics Endogenous Antigen-Antibody Complex for Inhibition of B Cells Key Points of Differentiation • Unique B cell checkpoint via BCR complex restoring B-cell anergy ("tolerance") • Potential for improved efficacy &amp; safety • Differentiated targets for autoimmune • Efficient development to proof-of-concept • Obexelimab has &gt;600 patients treated with clean safety profile (similar Fc mutation) and highly active drug KP-701 B Cell Receptor (BCR) Pro-survival Module KP-701 has shown a strong inhibitory profile against B cells, including antibody production and proliferation without ADCC / CDC or TDCC Dual Engagement of CD79BxCD32B to Drive Central Tolerance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24 Source: Internal data, Xencor and Macrogenics publications *Head-to-Head Study Superior potency observed compared to Obexilimiab, PRV3279 and Rituximab KP-701: Potent Effects on B-cell Proliferation &amp; Phagocytosis vs. Existing Programs KP-701 Control IgG CD27 CD38 7.6 % 22.0 % Cell only 17.2 % (% in CD3-CD20- cells) n=4, Mean ± SEM 10-7 10-11 10-9 10-7 0 50 100 150 Concentration (mol/L) Control IgG1 ASP2713 IgG2 Production KP-701 KP-701 Activity on SLE Plasmablasts &amp; IgG2 PRV3279 KP-701 Superior Activity in B-cell Proliferation Assay* Rapid Phagocytosis of B cells at Low Concentrations vs. Existing B-cell Agents KP-701 Concentration KP-701 Obexelimab</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25 0% 10% 20% 30% 40% 50% 60% 70% 80% 90% 100% 110% -17 -9 1 8 15 22 28 Normalized B cell Counts (% Baseline) Days Reduction of CD3-CD20+ in Peripheral Blood 40% 50% 60% 70% 80% 90% 100% 110% Day -6 6W 13W 26W Normalized IgG (% Baseline) Rx= Q1W for 26 Wks IgG 40% 50% 60% 70% 80% 90% 100% 110% Day -6 6W 13W 26W Normalized IgA (% Baseline) Rx= Q1W for 26 Wks IgA Control 1 mpk 3 mpk 30 mpk • Strong reductions in IgG / IgA and B cells KP-701: Unique Reductions in B Cells &amp; Immunoglobulins (IgG &amp; IgA) in NHPs Source: Internal data</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26 Streamlined Phase 1a/b Strategy Intended to Deliver Rapid Proof-of-Concept Phase 1a - SAD Phase 1b - MAD Phase 1a: • Assess the safety, tolerability, and PK of KP-701 in patients with HVs and autoimmune disease • B cell and serum Ig PD to help enable the starting dose for 1B Opportunity to Evaluate Safety, PK / PD &amp; Preliminary Activity in Autoimmune Disease (AID) PK Lead-In: • Patients randomized; 4 patients in 3:1 ratio of drug to placebo Primary Endpoints: TEAEs, PK, PD (B-cell depletion / recovery), Ig's Exploratory Endpoints: TBD SC PKPD &amp; POC: • Patients randomized patients in 3:1 ratio of drug to placebo Primary Endpoints: TEAEs, PK, PD (B-cell depletion / recovery), Ig's Exploratory Endpoints: B cell &amp; disease relevant markers DL 1 IV HV DL 2 IV +SC HVs DL 3 IV + SC HVs DL 4 IV + SC HVs DL 5 IV HVs DL 1 SC AID DL 2 SC AID Designed to provide PK / PD, safety data &amp; early signals on durability of KP-701 in AID Phase 1b: • Evaluate the dose-response and further assess the safety and PK of KP-701 in patients with AID DL 3 SC AID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27 Rapid proof-of-concept in rheumatology with potential expansion into other therapeutic areas Rheumatology • Rheumatoid Arthritis • Lupus (SLE) • Primary Sjögren's Syndrome • Inflammatory Myositis Dermatology • Immune Thrombocytopenia (ITP) • Autoimmune Hemolytic Anemia (AIHA) • Inflammatory Myositis Endocrinology • Graves' Disease • Thyroid Eye Disease • Hashimoto's • Obesity Neurology • Multiple Sclerosis • Myasthenia Gravis • NMOSD Broad Therapeutic Potential for Large Patient Populations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Summary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29 • $14B+ addressable market across complement-mediated disorders1 • Phase 2/3 ready in renal and hematology indications • Innovative, bifunctional biologic targeting both alternative &amp; terminal pathways • Preclinical data demonstrated potential superiority vs. single pathway therapies (C5, Factor B, or C3 alone) • Kira's China subsidiary fully supports the efficient and quality execution of a Phase 2 trial in China • Potential BLA path in SCID conditioning and broad optionality in large markets • Potential best-in-class conditioning agent for SCID &amp; Fanconi; planning pre-BLA / Type C meeting on approval pathway • Program has Orphan Drug &amp; Fast Track Designation + Rare Pediatric Disease Designation in SCID • Optionality to explore Briquilimab in mast-cell mediated disorders (e.g., CSU, food allergies) • The Combined Company is expected to be led by a core team of experienced biopharma industry experts, seeking to address critical unmet need in immunologically-driven disorders • KP-701 (long-acting CD79B) – potential best-in-class B-cell targeting therapy for early disease setting treatment, CTA/IND-ready • Multiple other programs targeting validated targets The Combined Company Plans to Deliver Innovative Therapeutics in Immunologically-Driven Disorders 1) Evaluate Pharma annual worldwide sales estimates Significant Global Opportunity KP-104 (C5 + Factor H) Briquilimab (anti-KIT) Broad Portfolio Experienced Leadership Team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6991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30 2028E 2027E 2026E Q1 – Potential Phase 3 initiation (PNH) Q2 – Phase 2, Stage 1 updated data Q2 - Phase 2, Stage 2 interim data (rare renal) 1H – EOP2 meeting (PNH) Q4 – New indication interim data Q4 – Phase 2, Stage 1 interim data (rare renal) Q4 – New indication Phase 2 plans KP-104 EOY – Potential US BLA approval &amp; PRV issuance* Q1 – Regulatory guidance on SCID EOY – Potential BLA submission* 2H – Update on next steps for non- transplant indication YE – Statistical analysis for SCID Briquilimab Q2 – Phase 1b data Mid-Year – Phase 2 initiation Q1 – File Phase 1 CTA/IND Q3 – Phase 1a HV data Q4 – Phase 1b initiation KP-701 Mid-Year – DC Selection Early-Stage Programs Multiple anticipated Phase 2 data readouts, two Phase 1 updates and potential Phase 3 start planned $132M PIPE Expected to Fund the Combined Company Through Multiple Anticipated Clinical Catalysts, Well Capitalized into 2H 2028 *Subject to FDA alignment, additional funding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125327</Words>
  <Characters>672654</Characters>
  <CharactersWithSpaces>798996</CharactersWithSpaces>
  <Paragraphs>5576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